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3.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74FC" w:rsidRDefault="007274FC" w:rsidP="007274FC">
      <w:bookmarkStart w:id="0" w:name="_GoBack"/>
      <w:bookmarkEnd w:id="0"/>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6663"/>
      </w:tblGrid>
      <w:tr w:rsidR="007274FC" w:rsidRPr="00C514B6" w:rsidTr="00C54B15">
        <w:trPr>
          <w:trHeight w:val="1128"/>
          <w:tblHeader/>
        </w:trPr>
        <w:tc>
          <w:tcPr>
            <w:tcW w:w="10065" w:type="dxa"/>
            <w:gridSpan w:val="2"/>
            <w:shd w:val="clear" w:color="auto" w:fill="D9D9D9"/>
            <w:vAlign w:val="center"/>
          </w:tcPr>
          <w:p w:rsidR="007274FC" w:rsidRPr="00C514B6" w:rsidRDefault="007274FC" w:rsidP="00C54B15">
            <w:pPr>
              <w:pStyle w:val="Sinespaciado"/>
              <w:jc w:val="center"/>
              <w:rPr>
                <w:rFonts w:ascii="Arial" w:hAnsi="Arial" w:cs="Arial"/>
                <w:sz w:val="18"/>
                <w:szCs w:val="18"/>
                <w:lang w:val="es-CO"/>
              </w:rPr>
            </w:pPr>
            <w:r w:rsidRPr="00C514B6">
              <w:rPr>
                <w:rFonts w:ascii="Arial" w:hAnsi="Arial" w:cs="Arial"/>
                <w:sz w:val="18"/>
                <w:szCs w:val="18"/>
                <w:lang w:val="es-CO"/>
              </w:rPr>
              <w:t>Proyecto de Resolución “</w:t>
            </w:r>
            <w:r w:rsidRPr="00DA744F">
              <w:rPr>
                <w:rFonts w:ascii="Arial" w:hAnsi="Arial" w:cs="Arial"/>
                <w:sz w:val="18"/>
                <w:szCs w:val="18"/>
                <w:lang w:val="es-CO"/>
              </w:rPr>
              <w:t>Por medio de la cual se ordena la publicación en la página web del Departamento Administrativo para la Prosperidad Social un inventario de bienes muebles, para ofrecerlos en la modalidad de enajenación a título gratuito entre Entidades Estatales</w:t>
            </w:r>
            <w:r>
              <w:rPr>
                <w:rFonts w:ascii="Arial" w:hAnsi="Arial" w:cs="Arial"/>
                <w:sz w:val="18"/>
                <w:szCs w:val="18"/>
                <w:lang w:val="es-CO"/>
              </w:rPr>
              <w:t xml:space="preserve"> </w:t>
            </w:r>
            <w:r w:rsidRPr="00C57FAD">
              <w:rPr>
                <w:rFonts w:ascii="Arial" w:hAnsi="Arial" w:cs="Arial"/>
                <w:sz w:val="18"/>
                <w:szCs w:val="18"/>
              </w:rPr>
              <w:t>de conformidad con el Acta No. 04 de 2019 del Comité de Evaluación de Bienes</w:t>
            </w:r>
            <w:r>
              <w:rPr>
                <w:rFonts w:ascii="Arial" w:hAnsi="Arial" w:cs="Arial"/>
                <w:sz w:val="18"/>
                <w:szCs w:val="18"/>
                <w:lang w:val="es-CO"/>
              </w:rPr>
              <w:t xml:space="preserve"> </w:t>
            </w:r>
            <w:r w:rsidRPr="00DA744F">
              <w:rPr>
                <w:rFonts w:ascii="Arial" w:hAnsi="Arial" w:cs="Arial"/>
                <w:sz w:val="18"/>
                <w:szCs w:val="18"/>
                <w:lang w:val="es-CO"/>
              </w:rPr>
              <w:t>.</w:t>
            </w:r>
            <w:r>
              <w:rPr>
                <w:rFonts w:ascii="Arial" w:hAnsi="Arial" w:cs="Arial"/>
                <w:sz w:val="18"/>
                <w:szCs w:val="18"/>
                <w:lang w:val="es-CO"/>
              </w:rPr>
              <w:t>”</w:t>
            </w:r>
          </w:p>
        </w:tc>
      </w:tr>
      <w:tr w:rsidR="007274FC" w:rsidRPr="00C514B6" w:rsidTr="00C54B15">
        <w:trPr>
          <w:trHeight w:val="988"/>
        </w:trPr>
        <w:tc>
          <w:tcPr>
            <w:tcW w:w="3402" w:type="dxa"/>
            <w:vAlign w:val="center"/>
          </w:tcPr>
          <w:p w:rsidR="007274FC" w:rsidRPr="00C514B6" w:rsidRDefault="007274FC" w:rsidP="00C54B15">
            <w:pPr>
              <w:pStyle w:val="Sinespaciado"/>
              <w:jc w:val="both"/>
              <w:rPr>
                <w:rFonts w:ascii="Arial" w:hAnsi="Arial" w:cs="Arial"/>
                <w:b/>
                <w:sz w:val="18"/>
                <w:szCs w:val="18"/>
                <w:lang w:val="es-CO"/>
              </w:rPr>
            </w:pPr>
            <w:r w:rsidRPr="00C514B6">
              <w:rPr>
                <w:rFonts w:ascii="Arial" w:hAnsi="Arial" w:cs="Arial"/>
                <w:b/>
                <w:sz w:val="18"/>
                <w:szCs w:val="18"/>
                <w:lang w:val="es-CO"/>
              </w:rPr>
              <w:t>Dependencia que desarrolla el proyecto de Norma (Escriba el nombre de la dependencia que liderará el proceso)</w:t>
            </w:r>
          </w:p>
        </w:tc>
        <w:tc>
          <w:tcPr>
            <w:tcW w:w="6663" w:type="dxa"/>
            <w:vAlign w:val="center"/>
          </w:tcPr>
          <w:p w:rsidR="007274FC" w:rsidRPr="00C514B6" w:rsidRDefault="007274FC" w:rsidP="00C54B15">
            <w:pPr>
              <w:pStyle w:val="Sinespaciado"/>
              <w:jc w:val="both"/>
              <w:rPr>
                <w:rFonts w:ascii="Arial" w:hAnsi="Arial" w:cs="Arial"/>
                <w:sz w:val="18"/>
                <w:szCs w:val="18"/>
                <w:lang w:val="es-CO"/>
              </w:rPr>
            </w:pPr>
            <w:r w:rsidRPr="00C514B6">
              <w:rPr>
                <w:rFonts w:ascii="Arial" w:hAnsi="Arial" w:cs="Arial"/>
                <w:sz w:val="18"/>
                <w:szCs w:val="18"/>
                <w:lang w:val="es-CO"/>
              </w:rPr>
              <w:t>Subdirección de Operaciones</w:t>
            </w:r>
          </w:p>
        </w:tc>
      </w:tr>
      <w:tr w:rsidR="007274FC" w:rsidRPr="00C514B6" w:rsidTr="00C54B15">
        <w:tc>
          <w:tcPr>
            <w:tcW w:w="3402" w:type="dxa"/>
            <w:vAlign w:val="center"/>
          </w:tcPr>
          <w:p w:rsidR="007274FC" w:rsidRPr="00C514B6" w:rsidRDefault="007274FC" w:rsidP="00C54B15">
            <w:pPr>
              <w:pStyle w:val="Sinespaciado"/>
              <w:jc w:val="both"/>
              <w:rPr>
                <w:rFonts w:ascii="Arial" w:hAnsi="Arial" w:cs="Arial"/>
                <w:b/>
                <w:sz w:val="18"/>
                <w:szCs w:val="18"/>
                <w:lang w:val="es-CO"/>
              </w:rPr>
            </w:pPr>
            <w:r w:rsidRPr="00C514B6">
              <w:rPr>
                <w:rFonts w:ascii="Arial" w:hAnsi="Arial" w:cs="Arial"/>
                <w:b/>
                <w:sz w:val="18"/>
                <w:szCs w:val="18"/>
                <w:lang w:val="es-CO"/>
              </w:rPr>
              <w:t xml:space="preserve">Proyecto de Decreto o Resolución: </w:t>
            </w:r>
          </w:p>
        </w:tc>
        <w:tc>
          <w:tcPr>
            <w:tcW w:w="6663" w:type="dxa"/>
            <w:vAlign w:val="center"/>
          </w:tcPr>
          <w:p w:rsidR="007274FC" w:rsidRPr="00C514B6" w:rsidRDefault="007274FC" w:rsidP="00C54B15">
            <w:pPr>
              <w:pStyle w:val="Sinespaciado"/>
              <w:jc w:val="both"/>
              <w:rPr>
                <w:rFonts w:ascii="Arial" w:hAnsi="Arial" w:cs="Arial"/>
                <w:sz w:val="18"/>
                <w:szCs w:val="18"/>
                <w:lang w:val="es-CO"/>
              </w:rPr>
            </w:pPr>
          </w:p>
          <w:p w:rsidR="007274FC" w:rsidRPr="00C514B6" w:rsidRDefault="007274FC" w:rsidP="00C54B15">
            <w:pPr>
              <w:pStyle w:val="Sinespaciado"/>
              <w:jc w:val="both"/>
              <w:rPr>
                <w:rFonts w:ascii="Arial" w:hAnsi="Arial" w:cs="Arial"/>
                <w:sz w:val="18"/>
                <w:szCs w:val="18"/>
                <w:lang w:val="es-CO"/>
              </w:rPr>
            </w:pPr>
            <w:r w:rsidRPr="00C514B6">
              <w:rPr>
                <w:rFonts w:ascii="Arial" w:hAnsi="Arial" w:cs="Arial"/>
                <w:sz w:val="18"/>
                <w:szCs w:val="18"/>
                <w:lang w:val="es-CO"/>
              </w:rPr>
              <w:t>Proyecto de Resolución “</w:t>
            </w:r>
            <w:r w:rsidRPr="00DA744F">
              <w:rPr>
                <w:rFonts w:ascii="Arial" w:hAnsi="Arial" w:cs="Arial"/>
                <w:sz w:val="18"/>
                <w:szCs w:val="18"/>
                <w:lang w:val="es-CO"/>
              </w:rPr>
              <w:t>Por medio de la cual se ordena la publicación en la página web del Departamento Administrativo para la Prosperidad Social un inventario de bienes muebles, para ofrecerlos en la modalidad de enajenación a título gratuito entre Entidades Estatales</w:t>
            </w:r>
            <w:r>
              <w:rPr>
                <w:rFonts w:ascii="Arial" w:hAnsi="Arial" w:cs="Arial"/>
                <w:sz w:val="18"/>
                <w:szCs w:val="18"/>
                <w:lang w:val="es-CO"/>
              </w:rPr>
              <w:t xml:space="preserve"> </w:t>
            </w:r>
            <w:r w:rsidRPr="00C57FAD">
              <w:rPr>
                <w:rFonts w:ascii="Arial" w:hAnsi="Arial" w:cs="Arial"/>
                <w:sz w:val="18"/>
                <w:szCs w:val="18"/>
              </w:rPr>
              <w:t>de conformidad con el Acta No. 04 de 2019 del Comité de Evaluación de Bienes</w:t>
            </w:r>
            <w:r w:rsidRPr="00DA744F">
              <w:rPr>
                <w:rFonts w:ascii="Arial" w:hAnsi="Arial" w:cs="Arial"/>
                <w:sz w:val="18"/>
                <w:szCs w:val="18"/>
                <w:lang w:val="es-CO"/>
              </w:rPr>
              <w:t>.</w:t>
            </w:r>
            <w:r>
              <w:rPr>
                <w:rFonts w:ascii="Arial" w:hAnsi="Arial" w:cs="Arial"/>
                <w:sz w:val="18"/>
                <w:szCs w:val="18"/>
                <w:lang w:val="es-CO"/>
              </w:rPr>
              <w:t>”</w:t>
            </w:r>
          </w:p>
          <w:p w:rsidR="007274FC" w:rsidRPr="00C514B6" w:rsidRDefault="007274FC" w:rsidP="00C54B15">
            <w:pPr>
              <w:pStyle w:val="Sinespaciado"/>
              <w:jc w:val="both"/>
              <w:rPr>
                <w:rFonts w:ascii="Arial" w:hAnsi="Arial" w:cs="Arial"/>
                <w:b/>
                <w:sz w:val="18"/>
                <w:szCs w:val="18"/>
              </w:rPr>
            </w:pPr>
          </w:p>
        </w:tc>
      </w:tr>
    </w:tbl>
    <w:p w:rsidR="007274FC" w:rsidRPr="00C514B6" w:rsidRDefault="007274FC" w:rsidP="007274FC">
      <w:pPr>
        <w:pStyle w:val="Sinespaciado"/>
        <w:jc w:val="both"/>
        <w:rPr>
          <w:rFonts w:ascii="Arial" w:hAnsi="Arial" w:cs="Arial"/>
          <w:sz w:val="18"/>
          <w:szCs w:val="18"/>
          <w:lang w:val="es-CO"/>
        </w:rPr>
      </w:pPr>
    </w:p>
    <w:p w:rsidR="007274FC" w:rsidRPr="00C514B6" w:rsidRDefault="007274FC" w:rsidP="007274FC">
      <w:pPr>
        <w:pStyle w:val="Sinespaciado"/>
        <w:jc w:val="both"/>
        <w:rPr>
          <w:rFonts w:ascii="Arial" w:hAnsi="Arial" w:cs="Arial"/>
          <w:sz w:val="18"/>
          <w:szCs w:val="18"/>
          <w:lang w:val="es-CO"/>
        </w:rPr>
      </w:pPr>
    </w:p>
    <w:tbl>
      <w:tblPr>
        <w:tblW w:w="100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86"/>
        <w:gridCol w:w="6679"/>
        <w:gridCol w:w="17"/>
      </w:tblGrid>
      <w:tr w:rsidR="007274FC" w:rsidRPr="00C514B6" w:rsidTr="00C54B15">
        <w:trPr>
          <w:trHeight w:val="2192"/>
        </w:trPr>
        <w:tc>
          <w:tcPr>
            <w:tcW w:w="3386" w:type="dxa"/>
            <w:tcBorders>
              <w:right w:val="single" w:sz="4" w:space="0" w:color="auto"/>
            </w:tcBorders>
            <w:vAlign w:val="center"/>
          </w:tcPr>
          <w:p w:rsidR="007274FC" w:rsidRPr="00C514B6" w:rsidRDefault="007274FC" w:rsidP="00C54B15">
            <w:pPr>
              <w:pStyle w:val="Sinespaciado"/>
              <w:jc w:val="both"/>
              <w:rPr>
                <w:rFonts w:ascii="Arial" w:hAnsi="Arial" w:cs="Arial"/>
                <w:b/>
                <w:sz w:val="18"/>
                <w:szCs w:val="18"/>
                <w:lang w:val="es-CO"/>
              </w:rPr>
            </w:pPr>
            <w:r w:rsidRPr="00C514B6">
              <w:rPr>
                <w:rFonts w:ascii="Arial" w:hAnsi="Arial" w:cs="Arial"/>
                <w:b/>
                <w:sz w:val="18"/>
                <w:szCs w:val="18"/>
                <w:lang w:val="es-CO"/>
              </w:rPr>
              <w:t>1. Los antecedentes y las razones de oportunidad y conveniencia que justifican su expedición.</w:t>
            </w:r>
          </w:p>
          <w:p w:rsidR="007274FC" w:rsidRPr="00C514B6" w:rsidRDefault="007274FC" w:rsidP="00C54B15">
            <w:pPr>
              <w:pStyle w:val="Sinespaciado"/>
              <w:jc w:val="both"/>
              <w:rPr>
                <w:rFonts w:ascii="Arial" w:hAnsi="Arial" w:cs="Arial"/>
                <w:b/>
                <w:sz w:val="18"/>
                <w:szCs w:val="18"/>
                <w:lang w:val="es-CO"/>
              </w:rPr>
            </w:pPr>
          </w:p>
        </w:tc>
        <w:tc>
          <w:tcPr>
            <w:tcW w:w="6696" w:type="dxa"/>
            <w:gridSpan w:val="2"/>
            <w:tcBorders>
              <w:top w:val="single" w:sz="4" w:space="0" w:color="auto"/>
              <w:left w:val="single" w:sz="4" w:space="0" w:color="auto"/>
              <w:bottom w:val="single" w:sz="4" w:space="0" w:color="auto"/>
              <w:right w:val="single" w:sz="4" w:space="0" w:color="auto"/>
            </w:tcBorders>
            <w:vAlign w:val="center"/>
          </w:tcPr>
          <w:p w:rsidR="007274FC" w:rsidRPr="00C514B6" w:rsidRDefault="007274FC" w:rsidP="00C54B15">
            <w:pPr>
              <w:pStyle w:val="Sinespaciado"/>
              <w:jc w:val="both"/>
              <w:rPr>
                <w:rFonts w:ascii="Arial" w:hAnsi="Arial" w:cs="Arial"/>
                <w:sz w:val="18"/>
                <w:szCs w:val="18"/>
                <w:lang w:val="es-CO"/>
              </w:rPr>
            </w:pPr>
          </w:p>
          <w:p w:rsidR="007274FC" w:rsidRPr="00C514B6" w:rsidRDefault="007274FC" w:rsidP="00C54B15">
            <w:pPr>
              <w:pStyle w:val="Sinespaciado"/>
              <w:jc w:val="both"/>
              <w:rPr>
                <w:rFonts w:ascii="Arial" w:hAnsi="Arial" w:cs="Arial"/>
                <w:sz w:val="18"/>
                <w:szCs w:val="18"/>
                <w:lang w:val="es-CO"/>
              </w:rPr>
            </w:pPr>
            <w:r w:rsidRPr="00C514B6">
              <w:rPr>
                <w:rFonts w:ascii="Arial" w:hAnsi="Arial" w:cs="Arial"/>
                <w:sz w:val="18"/>
                <w:szCs w:val="18"/>
                <w:lang w:val="es-CO"/>
              </w:rPr>
              <w:t>El artículo 79 y 80 de la Constitución Política consagran el derecho colectivo a gozar de un ambiente sano y el deber del Estado de proteger la diversidad e integridad del ambiente, planificar el manejo y aprovechamiento de los recursos naturales renovables a fin de garantizar su desarrollo sostenible, restauración o sustitución y prevenir los factores de deterioro ambiental.</w:t>
            </w:r>
          </w:p>
          <w:p w:rsidR="007274FC" w:rsidRPr="00C514B6" w:rsidRDefault="007274FC" w:rsidP="00C54B15">
            <w:pPr>
              <w:pStyle w:val="Sinespaciado"/>
              <w:jc w:val="both"/>
              <w:rPr>
                <w:rFonts w:ascii="Arial" w:hAnsi="Arial" w:cs="Arial"/>
                <w:sz w:val="18"/>
                <w:szCs w:val="18"/>
                <w:lang w:val="es-CO"/>
              </w:rPr>
            </w:pPr>
          </w:p>
          <w:p w:rsidR="007274FC" w:rsidRPr="00C514B6" w:rsidRDefault="007274FC" w:rsidP="00C54B15">
            <w:pPr>
              <w:pStyle w:val="Sinespaciado"/>
              <w:jc w:val="both"/>
              <w:rPr>
                <w:rFonts w:ascii="Arial" w:hAnsi="Arial" w:cs="Arial"/>
                <w:sz w:val="18"/>
                <w:szCs w:val="18"/>
                <w:lang w:val="es-CO"/>
              </w:rPr>
            </w:pPr>
            <w:r w:rsidRPr="00C514B6">
              <w:rPr>
                <w:rFonts w:ascii="Arial" w:hAnsi="Arial" w:cs="Arial"/>
                <w:sz w:val="18"/>
                <w:szCs w:val="18"/>
                <w:lang w:val="es-CO"/>
              </w:rPr>
              <w:t>Que el Decreto 4155 de 2011, transforma la Agencia Presidencial para la Acción Social y la Cooperación Internacional (Acción Social) en Departamento Administrativo para la Prosperidad Social, perteneciente al Sector Administrativo de Inclusión Social y Reconciliación y fija su objetivo y estructura.</w:t>
            </w:r>
          </w:p>
          <w:p w:rsidR="007274FC" w:rsidRPr="00C514B6" w:rsidRDefault="007274FC" w:rsidP="00C54B15">
            <w:pPr>
              <w:pStyle w:val="Sinespaciado"/>
              <w:jc w:val="both"/>
              <w:rPr>
                <w:rFonts w:ascii="Arial" w:hAnsi="Arial" w:cs="Arial"/>
                <w:sz w:val="18"/>
                <w:szCs w:val="18"/>
              </w:rPr>
            </w:pPr>
          </w:p>
          <w:p w:rsidR="007274FC" w:rsidRPr="00C514B6" w:rsidRDefault="007274FC" w:rsidP="00C54B15">
            <w:pPr>
              <w:pStyle w:val="Sinespaciado"/>
              <w:jc w:val="both"/>
              <w:rPr>
                <w:rFonts w:ascii="Arial" w:hAnsi="Arial" w:cs="Arial"/>
                <w:sz w:val="18"/>
                <w:szCs w:val="18"/>
                <w:lang w:val="es-CO"/>
              </w:rPr>
            </w:pPr>
            <w:r w:rsidRPr="00C514B6">
              <w:rPr>
                <w:rFonts w:ascii="Arial" w:hAnsi="Arial" w:cs="Arial"/>
                <w:sz w:val="18"/>
                <w:szCs w:val="18"/>
                <w:lang w:val="es-CO"/>
              </w:rPr>
              <w:t>Que el Decreto 2559 de 30 de diciembre de 2015, ordenó la fusión de la Agencia Nacional para la Superación de la Pobreza Extrema-ANSPE y la Unidad Administrativa Especial para la Consolidación Territorial-UACT en el Departamento Administrativo para la Prosperidad Social – PROSPERIDAD SOCIAL y modificó su estructura.</w:t>
            </w:r>
          </w:p>
          <w:p w:rsidR="007274FC" w:rsidRPr="00C514B6" w:rsidRDefault="007274FC" w:rsidP="00C54B15">
            <w:pPr>
              <w:pStyle w:val="Sinespaciado"/>
              <w:jc w:val="both"/>
              <w:rPr>
                <w:rFonts w:ascii="Arial" w:hAnsi="Arial" w:cs="Arial"/>
                <w:sz w:val="18"/>
                <w:szCs w:val="18"/>
                <w:lang w:val="es-CO"/>
              </w:rPr>
            </w:pPr>
          </w:p>
          <w:p w:rsidR="007274FC" w:rsidRPr="00C514B6" w:rsidRDefault="007274FC" w:rsidP="00C54B15">
            <w:pPr>
              <w:pStyle w:val="Sinespaciado"/>
              <w:jc w:val="both"/>
              <w:rPr>
                <w:rFonts w:ascii="Arial" w:hAnsi="Arial" w:cs="Arial"/>
                <w:sz w:val="18"/>
                <w:szCs w:val="18"/>
                <w:lang w:val="es-CO"/>
              </w:rPr>
            </w:pPr>
            <w:r w:rsidRPr="00C514B6">
              <w:rPr>
                <w:rFonts w:ascii="Arial" w:hAnsi="Arial" w:cs="Arial"/>
                <w:sz w:val="18"/>
                <w:szCs w:val="18"/>
                <w:lang w:val="es-CO"/>
              </w:rPr>
              <w:t>Que el artículo primero de la Resolución 01405 del 25 de mayo de 2016 determinó que el objetivo del Comité de Evaluación de Bienes del Departamento Administrativo para la Prosperidad Social – PROSPERIDAD SOCIAL, es “asesorar a la Administración en el estudio y análisis de la información que sobre las condiciones de los bienes objeto de la baja definitiva, presente el Grupo de Administración de Bienes de la Subdirección de Operaciones; conceptuando y recomendando o no la baja definitiva, la modalidad y destinación final de los bienes devolutivos, de consumo, de consumo controlado y de otros activos, para ser retirados tanto físicamente como de los registros contables e inventarios que forman parte del patrimonio de la Entidad”.</w:t>
            </w:r>
          </w:p>
          <w:p w:rsidR="007274FC" w:rsidRPr="00C514B6" w:rsidRDefault="007274FC" w:rsidP="00C54B15">
            <w:pPr>
              <w:pStyle w:val="Sinespaciado"/>
              <w:jc w:val="both"/>
              <w:rPr>
                <w:rFonts w:ascii="Arial" w:hAnsi="Arial" w:cs="Arial"/>
                <w:sz w:val="18"/>
                <w:szCs w:val="18"/>
                <w:lang w:val="es-CO"/>
              </w:rPr>
            </w:pPr>
          </w:p>
          <w:p w:rsidR="007274FC" w:rsidRPr="00C514B6" w:rsidRDefault="007274FC" w:rsidP="00C54B15">
            <w:pPr>
              <w:pStyle w:val="Sinespaciado"/>
              <w:jc w:val="both"/>
              <w:rPr>
                <w:rFonts w:ascii="Arial" w:hAnsi="Arial" w:cs="Arial"/>
                <w:sz w:val="18"/>
                <w:szCs w:val="18"/>
                <w:lang w:val="es-CO"/>
              </w:rPr>
            </w:pPr>
            <w:r w:rsidRPr="00C514B6">
              <w:rPr>
                <w:rFonts w:ascii="Arial" w:hAnsi="Arial" w:cs="Arial"/>
                <w:sz w:val="18"/>
                <w:szCs w:val="18"/>
                <w:lang w:val="es-CO"/>
              </w:rPr>
              <w:t>Que mediante el Decreto 2094 del 22 de diciembre 2016 se modificó la estructura del Departamento Administrativo para la Prosperidad Social – PROSPERIDAD SOCIAL y derogó las disposiciones que le fueran contrarias, en especial las contenidas en el Decreto 2559 de 2015.</w:t>
            </w:r>
          </w:p>
          <w:p w:rsidR="007274FC" w:rsidRPr="00C514B6" w:rsidRDefault="007274FC" w:rsidP="00C54B15">
            <w:pPr>
              <w:pStyle w:val="Sinespaciado"/>
              <w:jc w:val="both"/>
              <w:rPr>
                <w:rFonts w:ascii="Arial" w:hAnsi="Arial" w:cs="Arial"/>
                <w:sz w:val="18"/>
                <w:szCs w:val="18"/>
                <w:lang w:val="es-CO"/>
              </w:rPr>
            </w:pPr>
          </w:p>
          <w:p w:rsidR="007274FC" w:rsidRPr="00C514B6" w:rsidRDefault="007274FC" w:rsidP="00C54B15">
            <w:pPr>
              <w:pStyle w:val="Sinespaciado"/>
              <w:jc w:val="both"/>
              <w:rPr>
                <w:rFonts w:ascii="Arial" w:hAnsi="Arial" w:cs="Arial"/>
                <w:sz w:val="18"/>
                <w:szCs w:val="18"/>
                <w:lang w:val="es-CO"/>
              </w:rPr>
            </w:pPr>
            <w:r w:rsidRPr="00C514B6">
              <w:rPr>
                <w:rFonts w:ascii="Arial" w:hAnsi="Arial" w:cs="Arial"/>
                <w:sz w:val="18"/>
                <w:szCs w:val="18"/>
                <w:lang w:val="es-CO"/>
              </w:rPr>
              <w:t>Que de acuerdo con el artículo primero de la Resolución 01881 de 23 de junio de 2017, el Director del Departamento Administrativo para la Prosperidad Social – PROSPERIDAD SOCIAL delegó en su Secretario General, la suscripción de actos administrativos emanados de las decisiones del Comité de Evaluación de Bienes de la Entidad.</w:t>
            </w:r>
          </w:p>
          <w:p w:rsidR="007274FC" w:rsidRPr="00C514B6" w:rsidRDefault="007274FC" w:rsidP="00C54B15">
            <w:pPr>
              <w:pStyle w:val="Sinespaciado"/>
              <w:jc w:val="both"/>
              <w:rPr>
                <w:rFonts w:ascii="Arial" w:hAnsi="Arial" w:cs="Arial"/>
                <w:sz w:val="18"/>
                <w:szCs w:val="18"/>
                <w:lang w:val="es-CO"/>
              </w:rPr>
            </w:pPr>
          </w:p>
          <w:p w:rsidR="007274FC" w:rsidRPr="00C514B6" w:rsidRDefault="007274FC" w:rsidP="00C54B15">
            <w:pPr>
              <w:pStyle w:val="Sinespaciado"/>
              <w:jc w:val="both"/>
              <w:rPr>
                <w:rFonts w:ascii="Arial" w:hAnsi="Arial" w:cs="Arial"/>
                <w:sz w:val="18"/>
                <w:szCs w:val="18"/>
                <w:lang w:val="es-CO"/>
              </w:rPr>
            </w:pPr>
          </w:p>
          <w:p w:rsidR="007274FC" w:rsidRPr="00C514B6" w:rsidRDefault="007274FC" w:rsidP="00C54B15">
            <w:pPr>
              <w:jc w:val="both"/>
              <w:rPr>
                <w:rFonts w:ascii="Arial" w:hAnsi="Arial" w:cs="Arial"/>
                <w:sz w:val="18"/>
                <w:szCs w:val="18"/>
              </w:rPr>
            </w:pPr>
            <w:r w:rsidRPr="00C514B6">
              <w:rPr>
                <w:rFonts w:ascii="Arial" w:hAnsi="Arial" w:cs="Arial"/>
                <w:sz w:val="18"/>
                <w:szCs w:val="18"/>
              </w:rPr>
              <w:t>Que mediante Resolución 02116 del 05 de septiembre de 2018, se adoptó el Reglamento Operativo para el Manejo y Control Administrativo de los bienes de propiedad del Departamento Administrativo para la Prosperidad Social – PROSPERIDAD SOCIAL, bajo el nuevo marco normativo de contabilidad pública.</w:t>
            </w:r>
          </w:p>
          <w:p w:rsidR="007274FC" w:rsidRPr="00C514B6" w:rsidRDefault="007274FC" w:rsidP="00C54B15">
            <w:pPr>
              <w:jc w:val="both"/>
              <w:rPr>
                <w:rFonts w:ascii="Arial" w:hAnsi="Arial" w:cs="Arial"/>
                <w:sz w:val="18"/>
                <w:szCs w:val="18"/>
              </w:rPr>
            </w:pPr>
          </w:p>
          <w:p w:rsidR="007274FC" w:rsidRPr="00C514B6" w:rsidRDefault="007274FC" w:rsidP="00C54B15">
            <w:pPr>
              <w:jc w:val="both"/>
              <w:rPr>
                <w:rFonts w:ascii="Arial" w:hAnsi="Arial" w:cs="Arial"/>
                <w:sz w:val="18"/>
                <w:szCs w:val="18"/>
              </w:rPr>
            </w:pPr>
          </w:p>
          <w:p w:rsidR="007274FC" w:rsidRPr="00C514B6" w:rsidRDefault="007274FC" w:rsidP="00C54B15">
            <w:pPr>
              <w:jc w:val="both"/>
              <w:rPr>
                <w:rFonts w:ascii="Arial" w:hAnsi="Arial" w:cs="Arial"/>
                <w:sz w:val="18"/>
                <w:szCs w:val="18"/>
              </w:rPr>
            </w:pPr>
          </w:p>
          <w:p w:rsidR="007274FC" w:rsidRPr="00C514B6" w:rsidRDefault="007274FC" w:rsidP="00C54B15">
            <w:pPr>
              <w:jc w:val="both"/>
              <w:rPr>
                <w:rFonts w:ascii="Arial" w:hAnsi="Arial" w:cs="Arial"/>
                <w:b/>
                <w:sz w:val="18"/>
                <w:szCs w:val="18"/>
                <w:lang w:val="es-CO"/>
              </w:rPr>
            </w:pPr>
            <w:r w:rsidRPr="00C514B6">
              <w:rPr>
                <w:rFonts w:ascii="Arial" w:hAnsi="Arial" w:cs="Arial"/>
                <w:sz w:val="18"/>
                <w:szCs w:val="18"/>
              </w:rPr>
              <w:t xml:space="preserve">Que el Comité de Evaluación de Bienes el </w:t>
            </w:r>
            <w:r w:rsidRPr="00931AD7">
              <w:rPr>
                <w:rFonts w:ascii="Arial" w:hAnsi="Arial" w:cs="Arial"/>
                <w:sz w:val="18"/>
                <w:szCs w:val="18"/>
              </w:rPr>
              <w:t>10 de octubre de 2019</w:t>
            </w:r>
            <w:r>
              <w:rPr>
                <w:rFonts w:ascii="Century Gothic" w:hAnsi="Century Gothic" w:cs="Arial"/>
                <w:sz w:val="18"/>
                <w:szCs w:val="18"/>
              </w:rPr>
              <w:t xml:space="preserve">, mediante Acta No. 04 </w:t>
            </w:r>
            <w:r w:rsidRPr="00C514B6">
              <w:rPr>
                <w:rFonts w:ascii="Arial" w:hAnsi="Arial" w:cs="Arial"/>
                <w:sz w:val="18"/>
                <w:szCs w:val="18"/>
              </w:rPr>
              <w:t xml:space="preserve">ordena </w:t>
            </w:r>
            <w:r>
              <w:rPr>
                <w:rFonts w:ascii="Arial" w:hAnsi="Arial" w:cs="Arial"/>
                <w:sz w:val="18"/>
                <w:szCs w:val="18"/>
              </w:rPr>
              <w:t xml:space="preserve">el </w:t>
            </w:r>
            <w:r w:rsidRPr="00C514B6">
              <w:rPr>
                <w:rFonts w:ascii="Arial" w:hAnsi="Arial" w:cs="Arial"/>
                <w:sz w:val="18"/>
                <w:szCs w:val="18"/>
              </w:rPr>
              <w:t xml:space="preserve">ofrecimiento de </w:t>
            </w:r>
            <w:r w:rsidRPr="00931AD7">
              <w:rPr>
                <w:rFonts w:ascii="Arial" w:hAnsi="Arial" w:cs="Arial"/>
                <w:b/>
                <w:bCs/>
                <w:sz w:val="18"/>
                <w:szCs w:val="18"/>
              </w:rPr>
              <w:t xml:space="preserve">QUINIENTOS NOVENTA Y </w:t>
            </w:r>
            <w:r>
              <w:rPr>
                <w:rFonts w:ascii="Arial" w:hAnsi="Arial" w:cs="Arial"/>
                <w:b/>
                <w:bCs/>
                <w:sz w:val="18"/>
                <w:szCs w:val="18"/>
              </w:rPr>
              <w:t>UN</w:t>
            </w:r>
            <w:r w:rsidRPr="00931AD7">
              <w:rPr>
                <w:rFonts w:ascii="Arial" w:hAnsi="Arial" w:cs="Arial"/>
                <w:b/>
                <w:bCs/>
                <w:sz w:val="18"/>
                <w:szCs w:val="18"/>
              </w:rPr>
              <w:t xml:space="preserve"> (59</w:t>
            </w:r>
            <w:r>
              <w:rPr>
                <w:rFonts w:ascii="Arial" w:hAnsi="Arial" w:cs="Arial"/>
                <w:b/>
                <w:bCs/>
                <w:sz w:val="18"/>
                <w:szCs w:val="18"/>
              </w:rPr>
              <w:t>1</w:t>
            </w:r>
            <w:r w:rsidRPr="00931AD7">
              <w:rPr>
                <w:rFonts w:ascii="Arial" w:hAnsi="Arial" w:cs="Arial"/>
                <w:b/>
                <w:bCs/>
                <w:sz w:val="18"/>
                <w:szCs w:val="18"/>
              </w:rPr>
              <w:t xml:space="preserve">) </w:t>
            </w:r>
            <w:r w:rsidRPr="00C514B6">
              <w:rPr>
                <w:rFonts w:ascii="Arial" w:hAnsi="Arial" w:cs="Arial"/>
                <w:b/>
                <w:sz w:val="18"/>
                <w:szCs w:val="18"/>
              </w:rPr>
              <w:t>BIENES</w:t>
            </w:r>
            <w:r w:rsidRPr="00C514B6">
              <w:rPr>
                <w:rFonts w:ascii="Arial" w:hAnsi="Arial" w:cs="Arial"/>
                <w:sz w:val="18"/>
                <w:szCs w:val="18"/>
                <w:lang w:val="es-CO"/>
              </w:rPr>
              <w:t xml:space="preserve"> del Departamento Administrativo para la Prosperidad Social soportados en conceptos técnicos. </w:t>
            </w:r>
          </w:p>
          <w:p w:rsidR="007274FC" w:rsidRPr="00C514B6" w:rsidRDefault="007274FC" w:rsidP="00C54B15">
            <w:pPr>
              <w:jc w:val="both"/>
              <w:rPr>
                <w:rFonts w:ascii="Arial" w:hAnsi="Arial" w:cs="Arial"/>
                <w:sz w:val="18"/>
                <w:szCs w:val="18"/>
                <w:lang w:val="es-CO"/>
              </w:rPr>
            </w:pPr>
          </w:p>
          <w:p w:rsidR="007274FC" w:rsidRPr="00C514B6" w:rsidRDefault="007274FC" w:rsidP="00C54B15">
            <w:pPr>
              <w:jc w:val="both"/>
              <w:rPr>
                <w:rFonts w:ascii="Arial" w:hAnsi="Arial" w:cs="Arial"/>
                <w:sz w:val="18"/>
                <w:szCs w:val="18"/>
                <w:lang w:val="es-CO"/>
              </w:rPr>
            </w:pPr>
          </w:p>
          <w:p w:rsidR="007274FC" w:rsidRPr="00C514B6" w:rsidRDefault="007274FC" w:rsidP="00C54B15">
            <w:pPr>
              <w:pStyle w:val="Sinespaciado"/>
              <w:jc w:val="both"/>
              <w:rPr>
                <w:rFonts w:ascii="Arial" w:hAnsi="Arial" w:cs="Arial"/>
                <w:sz w:val="18"/>
                <w:szCs w:val="18"/>
                <w:lang w:val="es-CO"/>
              </w:rPr>
            </w:pPr>
            <w:r w:rsidRPr="00C514B6">
              <w:rPr>
                <w:rFonts w:ascii="Arial" w:hAnsi="Arial" w:cs="Arial"/>
                <w:sz w:val="18"/>
                <w:szCs w:val="18"/>
                <w:lang w:val="es-CO"/>
              </w:rPr>
              <w:t>Que PROSPERIDAD SOCIAL debe garantizar la identificación, control, registro y custodia sistemática de todos los activos, haciéndose necesario organizar la disposición de los bienes conforme a las normas técnicas y contables vigentes.</w:t>
            </w:r>
          </w:p>
          <w:p w:rsidR="007274FC" w:rsidRPr="00C514B6" w:rsidRDefault="007274FC" w:rsidP="00C54B15">
            <w:pPr>
              <w:pStyle w:val="Sinespaciado"/>
              <w:jc w:val="both"/>
              <w:rPr>
                <w:rFonts w:ascii="Arial" w:hAnsi="Arial" w:cs="Arial"/>
                <w:sz w:val="18"/>
                <w:szCs w:val="18"/>
                <w:lang w:val="es-CO"/>
              </w:rPr>
            </w:pPr>
            <w:r w:rsidRPr="00C514B6">
              <w:rPr>
                <w:rFonts w:ascii="Arial" w:hAnsi="Arial" w:cs="Arial"/>
                <w:sz w:val="18"/>
                <w:szCs w:val="18"/>
                <w:lang w:val="es-CO"/>
              </w:rPr>
              <w:t>En este orden de ideas y para lograr la depuración de los inventarios y actualizarlos de cara a la normatividad contable, es necesario adelantar las acciones tendientes a la consecución de dicho fin, siguiendo el procedimiento estipulado en el Reglamento Operativo para el Manejo y Control Administrativo de los bienes de propiedad del Departamento Administrativo para la Prosperidad Social – PROSPERIDAD SOCIAL.</w:t>
            </w:r>
          </w:p>
          <w:p w:rsidR="007274FC" w:rsidRPr="00C514B6" w:rsidRDefault="007274FC" w:rsidP="00C54B15">
            <w:pPr>
              <w:pStyle w:val="Sinespaciado"/>
              <w:jc w:val="both"/>
              <w:rPr>
                <w:rFonts w:ascii="Arial" w:hAnsi="Arial" w:cs="Arial"/>
                <w:sz w:val="18"/>
                <w:szCs w:val="18"/>
                <w:lang w:val="es-CO"/>
              </w:rPr>
            </w:pPr>
          </w:p>
        </w:tc>
      </w:tr>
      <w:tr w:rsidR="007274FC" w:rsidRPr="00C514B6" w:rsidTr="00C54B15">
        <w:tc>
          <w:tcPr>
            <w:tcW w:w="3386" w:type="dxa"/>
            <w:vAlign w:val="center"/>
          </w:tcPr>
          <w:p w:rsidR="007274FC" w:rsidRPr="00C514B6" w:rsidRDefault="007274FC" w:rsidP="00C54B15">
            <w:pPr>
              <w:pStyle w:val="Sinespaciado"/>
              <w:jc w:val="both"/>
              <w:rPr>
                <w:rFonts w:ascii="Arial" w:hAnsi="Arial" w:cs="Arial"/>
                <w:b/>
                <w:sz w:val="18"/>
                <w:szCs w:val="18"/>
                <w:lang w:val="es-CO"/>
              </w:rPr>
            </w:pPr>
            <w:r w:rsidRPr="00C514B6">
              <w:rPr>
                <w:rFonts w:ascii="Arial" w:hAnsi="Arial" w:cs="Arial"/>
                <w:b/>
                <w:sz w:val="18"/>
                <w:szCs w:val="18"/>
                <w:lang w:val="es-CO"/>
              </w:rPr>
              <w:lastRenderedPageBreak/>
              <w:t>1.1 Las normas que otorgan la competencia para la expedición del correspondiente acto.</w:t>
            </w:r>
          </w:p>
        </w:tc>
        <w:tc>
          <w:tcPr>
            <w:tcW w:w="6696" w:type="dxa"/>
            <w:gridSpan w:val="2"/>
            <w:tcBorders>
              <w:top w:val="single" w:sz="4" w:space="0" w:color="auto"/>
            </w:tcBorders>
            <w:vAlign w:val="center"/>
          </w:tcPr>
          <w:p w:rsidR="007274FC" w:rsidRPr="00C514B6" w:rsidRDefault="007274FC" w:rsidP="00C54B15">
            <w:pPr>
              <w:jc w:val="both"/>
              <w:rPr>
                <w:rFonts w:ascii="Arial" w:hAnsi="Arial" w:cs="Arial"/>
                <w:sz w:val="18"/>
                <w:szCs w:val="18"/>
                <w:lang w:val="es-CO"/>
              </w:rPr>
            </w:pPr>
          </w:p>
          <w:p w:rsidR="007274FC" w:rsidRPr="00C514B6" w:rsidRDefault="007274FC" w:rsidP="00C54B15">
            <w:pPr>
              <w:jc w:val="both"/>
              <w:rPr>
                <w:rFonts w:ascii="Arial" w:hAnsi="Arial" w:cs="Arial"/>
                <w:sz w:val="18"/>
                <w:szCs w:val="18"/>
                <w:lang w:val="es-CO"/>
              </w:rPr>
            </w:pPr>
            <w:r w:rsidRPr="00C514B6">
              <w:rPr>
                <w:rFonts w:ascii="Arial" w:hAnsi="Arial" w:cs="Arial"/>
                <w:sz w:val="18"/>
                <w:szCs w:val="18"/>
                <w:lang w:val="es-CO"/>
              </w:rPr>
              <w:t>El artículo 189 numeral 11 de la Constitución Política de Colombia, determinó que corresponde al Presidente de la República como Jefe de Estado, Jefe del Gobierno y Suprema Autoridad Administrativa, ejercer la potestad reglamentaria, mediante la expedición de los decretos, resoluciones y órdenes necesarios para la cumplida ejecución de las leyes.</w:t>
            </w:r>
          </w:p>
          <w:p w:rsidR="007274FC" w:rsidRPr="00C514B6" w:rsidRDefault="007274FC" w:rsidP="00C54B15">
            <w:pPr>
              <w:jc w:val="both"/>
              <w:rPr>
                <w:rFonts w:ascii="Arial" w:hAnsi="Arial" w:cs="Arial"/>
                <w:sz w:val="18"/>
                <w:szCs w:val="18"/>
                <w:lang w:val="es-CO"/>
              </w:rPr>
            </w:pPr>
          </w:p>
          <w:p w:rsidR="007274FC" w:rsidRPr="00C514B6" w:rsidRDefault="007274FC" w:rsidP="00C54B15">
            <w:pPr>
              <w:jc w:val="both"/>
              <w:rPr>
                <w:rFonts w:ascii="Arial" w:hAnsi="Arial" w:cs="Arial"/>
                <w:sz w:val="18"/>
                <w:szCs w:val="18"/>
                <w:lang w:val="es-CO"/>
              </w:rPr>
            </w:pPr>
            <w:r w:rsidRPr="00C514B6">
              <w:rPr>
                <w:rFonts w:ascii="Arial" w:hAnsi="Arial" w:cs="Arial"/>
                <w:sz w:val="18"/>
                <w:szCs w:val="18"/>
                <w:lang w:val="es-CO"/>
              </w:rPr>
              <w:t>Decreto 2094 de 2016 estructura del Departamento Administrativo para la Prosperidad Social - Prosperidad Social, Resolución 01405 de 2016 reglamenta el Comité de Evaluación de Bienes del Departamento Administrativo para la Prosperidad Social - Prosperidad Social.</w:t>
            </w:r>
          </w:p>
          <w:p w:rsidR="007274FC" w:rsidRPr="00C514B6" w:rsidRDefault="007274FC" w:rsidP="00C54B15">
            <w:pPr>
              <w:jc w:val="both"/>
              <w:rPr>
                <w:rFonts w:ascii="Arial" w:hAnsi="Arial" w:cs="Arial"/>
                <w:sz w:val="18"/>
                <w:szCs w:val="18"/>
                <w:lang w:val="es-CO"/>
              </w:rPr>
            </w:pPr>
          </w:p>
          <w:p w:rsidR="007274FC" w:rsidRPr="00C514B6" w:rsidRDefault="007274FC" w:rsidP="00C54B15">
            <w:pPr>
              <w:jc w:val="both"/>
              <w:rPr>
                <w:rStyle w:val="nfasis"/>
              </w:rPr>
            </w:pPr>
            <w:r w:rsidRPr="00C514B6">
              <w:rPr>
                <w:rFonts w:ascii="Arial" w:hAnsi="Arial" w:cs="Arial"/>
                <w:sz w:val="18"/>
                <w:szCs w:val="18"/>
                <w:lang w:val="es-CO"/>
              </w:rPr>
              <w:t>Resolución No.1881 de junio de 2017 delega la ordenación del gasto del Departamento Administrativo para la Prosperidad Social en cabeza del secretario General del Departamento Administrativo para la Prosperidad Social</w:t>
            </w:r>
            <w:r w:rsidRPr="00C514B6">
              <w:rPr>
                <w:rStyle w:val="nfasis"/>
              </w:rPr>
              <w:t xml:space="preserve">. </w:t>
            </w:r>
          </w:p>
          <w:p w:rsidR="007274FC" w:rsidRPr="00C514B6" w:rsidRDefault="007274FC" w:rsidP="00C54B15">
            <w:pPr>
              <w:jc w:val="both"/>
              <w:rPr>
                <w:rFonts w:ascii="Arial" w:hAnsi="Arial" w:cs="Arial"/>
                <w:sz w:val="25"/>
                <w:szCs w:val="25"/>
              </w:rPr>
            </w:pPr>
          </w:p>
          <w:p w:rsidR="007274FC" w:rsidRPr="00C514B6" w:rsidRDefault="007274FC" w:rsidP="00C54B15">
            <w:pPr>
              <w:jc w:val="both"/>
              <w:rPr>
                <w:rFonts w:ascii="Arial" w:hAnsi="Arial" w:cs="Arial"/>
                <w:sz w:val="18"/>
                <w:szCs w:val="18"/>
                <w:lang w:val="es-CO"/>
              </w:rPr>
            </w:pPr>
            <w:r w:rsidRPr="00C514B6">
              <w:rPr>
                <w:rFonts w:ascii="Arial" w:hAnsi="Arial" w:cs="Arial"/>
                <w:sz w:val="18"/>
                <w:szCs w:val="18"/>
                <w:lang w:val="es-CO"/>
              </w:rPr>
              <w:t>De acuerdo con el artículo primero numeral octavo de la Resolución 01881 de 23 de junio de 2017, el Director del Departamento Administrativo para la Prosperidad Social – PROSPERIDAD SOCIAL delegó en su Secretario General, la suscripción de actos administrativos emanados de las decisiones del Comité de Evaluación de Bienes de la Entidad.</w:t>
            </w:r>
          </w:p>
          <w:p w:rsidR="007274FC" w:rsidRPr="00C514B6" w:rsidRDefault="007274FC" w:rsidP="00C54B15">
            <w:pPr>
              <w:jc w:val="both"/>
              <w:rPr>
                <w:rFonts w:ascii="Arial" w:hAnsi="Arial" w:cs="Arial"/>
                <w:sz w:val="18"/>
                <w:szCs w:val="18"/>
                <w:lang w:val="es-CO"/>
              </w:rPr>
            </w:pPr>
          </w:p>
        </w:tc>
      </w:tr>
      <w:tr w:rsidR="007274FC" w:rsidRPr="00C514B6" w:rsidTr="00C54B15">
        <w:tc>
          <w:tcPr>
            <w:tcW w:w="3386" w:type="dxa"/>
            <w:vAlign w:val="center"/>
          </w:tcPr>
          <w:p w:rsidR="007274FC" w:rsidRPr="00C514B6" w:rsidRDefault="007274FC" w:rsidP="00C54B15">
            <w:pPr>
              <w:pStyle w:val="Sinespaciado"/>
              <w:jc w:val="both"/>
              <w:rPr>
                <w:rFonts w:ascii="Arial" w:hAnsi="Arial" w:cs="Arial"/>
                <w:b/>
                <w:sz w:val="18"/>
                <w:szCs w:val="18"/>
                <w:lang w:val="es-CO"/>
              </w:rPr>
            </w:pPr>
            <w:r w:rsidRPr="00C514B6">
              <w:rPr>
                <w:rFonts w:ascii="Arial" w:hAnsi="Arial" w:cs="Arial"/>
                <w:b/>
                <w:sz w:val="18"/>
                <w:szCs w:val="18"/>
                <w:lang w:val="es-CO"/>
              </w:rPr>
              <w:t>1.2 La vigencia de la ley o norma reglamentada o desarrollada.</w:t>
            </w:r>
          </w:p>
        </w:tc>
        <w:tc>
          <w:tcPr>
            <w:tcW w:w="6696" w:type="dxa"/>
            <w:gridSpan w:val="2"/>
            <w:vAlign w:val="center"/>
          </w:tcPr>
          <w:p w:rsidR="007274FC" w:rsidRPr="00C514B6" w:rsidRDefault="007274FC" w:rsidP="00C54B15">
            <w:pPr>
              <w:pStyle w:val="Sinespaciado"/>
              <w:jc w:val="both"/>
              <w:rPr>
                <w:rFonts w:ascii="Arial" w:hAnsi="Arial" w:cs="Arial"/>
                <w:sz w:val="18"/>
                <w:szCs w:val="18"/>
                <w:lang w:val="es-CO"/>
              </w:rPr>
            </w:pPr>
          </w:p>
          <w:p w:rsidR="007274FC" w:rsidRPr="00C514B6" w:rsidRDefault="007274FC" w:rsidP="00C54B15">
            <w:pPr>
              <w:pStyle w:val="Sinespaciado"/>
              <w:jc w:val="both"/>
              <w:rPr>
                <w:rFonts w:ascii="Arial" w:hAnsi="Arial" w:cs="Arial"/>
                <w:sz w:val="18"/>
                <w:szCs w:val="18"/>
                <w:lang w:val="es-CO"/>
              </w:rPr>
            </w:pPr>
            <w:r w:rsidRPr="00C514B6">
              <w:rPr>
                <w:rFonts w:ascii="Arial" w:hAnsi="Arial" w:cs="Arial"/>
                <w:sz w:val="18"/>
                <w:szCs w:val="18"/>
                <w:lang w:val="es-CO"/>
              </w:rPr>
              <w:t>El presente proyecto rige a partir de la fecha de su publicación.</w:t>
            </w:r>
          </w:p>
          <w:p w:rsidR="007274FC" w:rsidRPr="00C514B6" w:rsidRDefault="007274FC" w:rsidP="00C54B15">
            <w:pPr>
              <w:pStyle w:val="Sinespaciado"/>
              <w:jc w:val="both"/>
              <w:rPr>
                <w:rFonts w:ascii="Arial" w:hAnsi="Arial" w:cs="Arial"/>
                <w:sz w:val="18"/>
                <w:szCs w:val="18"/>
                <w:lang w:val="es-CO"/>
              </w:rPr>
            </w:pPr>
          </w:p>
        </w:tc>
      </w:tr>
      <w:tr w:rsidR="007274FC" w:rsidRPr="00C514B6" w:rsidTr="00C54B15">
        <w:trPr>
          <w:trHeight w:val="654"/>
        </w:trPr>
        <w:tc>
          <w:tcPr>
            <w:tcW w:w="3386" w:type="dxa"/>
            <w:vAlign w:val="center"/>
          </w:tcPr>
          <w:p w:rsidR="007274FC" w:rsidRPr="00C514B6" w:rsidRDefault="007274FC" w:rsidP="00C54B15">
            <w:pPr>
              <w:pStyle w:val="Sinespaciado"/>
              <w:jc w:val="both"/>
              <w:rPr>
                <w:rFonts w:ascii="Arial" w:hAnsi="Arial" w:cs="Arial"/>
                <w:b/>
                <w:sz w:val="18"/>
                <w:szCs w:val="18"/>
                <w:lang w:val="es-CO"/>
              </w:rPr>
            </w:pPr>
            <w:r w:rsidRPr="00C514B6">
              <w:rPr>
                <w:rFonts w:ascii="Arial" w:hAnsi="Arial" w:cs="Arial"/>
                <w:b/>
                <w:sz w:val="18"/>
                <w:szCs w:val="18"/>
                <w:lang w:val="es-CO"/>
              </w:rPr>
              <w:t>1.3 Las disposiciones derogadas, subrogadas, modificadas, adicionadas o sustituidas, si alguno de estos efectos se produce con la expedición del respectivo acto.</w:t>
            </w:r>
          </w:p>
        </w:tc>
        <w:tc>
          <w:tcPr>
            <w:tcW w:w="6696" w:type="dxa"/>
            <w:gridSpan w:val="2"/>
            <w:vAlign w:val="center"/>
          </w:tcPr>
          <w:p w:rsidR="007274FC" w:rsidRPr="00C514B6" w:rsidRDefault="007274FC" w:rsidP="00C54B15">
            <w:pPr>
              <w:pStyle w:val="Sinespaciado"/>
              <w:jc w:val="both"/>
              <w:rPr>
                <w:rFonts w:ascii="Arial" w:hAnsi="Arial" w:cs="Arial"/>
                <w:sz w:val="18"/>
                <w:szCs w:val="18"/>
                <w:lang w:val="es-CO"/>
              </w:rPr>
            </w:pPr>
            <w:r w:rsidRPr="00C514B6">
              <w:rPr>
                <w:rFonts w:ascii="Arial" w:hAnsi="Arial" w:cs="Arial"/>
                <w:bCs/>
                <w:sz w:val="18"/>
                <w:szCs w:val="18"/>
              </w:rPr>
              <w:t>NA.</w:t>
            </w:r>
          </w:p>
        </w:tc>
      </w:tr>
      <w:tr w:rsidR="007274FC" w:rsidRPr="00C514B6" w:rsidTr="00C54B15">
        <w:tc>
          <w:tcPr>
            <w:tcW w:w="3386" w:type="dxa"/>
            <w:vAlign w:val="center"/>
          </w:tcPr>
          <w:p w:rsidR="007274FC" w:rsidRPr="00C514B6" w:rsidRDefault="007274FC" w:rsidP="00C54B15">
            <w:pPr>
              <w:pStyle w:val="Sinespaciado"/>
              <w:jc w:val="both"/>
              <w:rPr>
                <w:rFonts w:ascii="Arial" w:hAnsi="Arial" w:cs="Arial"/>
                <w:b/>
                <w:sz w:val="18"/>
                <w:szCs w:val="18"/>
                <w:lang w:val="es-CO"/>
              </w:rPr>
            </w:pPr>
            <w:r w:rsidRPr="00C514B6">
              <w:rPr>
                <w:rFonts w:ascii="Arial" w:hAnsi="Arial" w:cs="Arial"/>
                <w:b/>
                <w:sz w:val="18"/>
                <w:szCs w:val="18"/>
                <w:lang w:val="es-CO"/>
              </w:rPr>
              <w:t>2. El ámbito de aplicación del respectivo acto y los sujetos a quienes va dirigido</w:t>
            </w:r>
          </w:p>
        </w:tc>
        <w:tc>
          <w:tcPr>
            <w:tcW w:w="6696" w:type="dxa"/>
            <w:gridSpan w:val="2"/>
            <w:vAlign w:val="center"/>
          </w:tcPr>
          <w:p w:rsidR="007274FC" w:rsidRPr="00C514B6" w:rsidRDefault="007274FC" w:rsidP="00C54B15">
            <w:pPr>
              <w:pStyle w:val="Sinespaciado"/>
              <w:jc w:val="both"/>
              <w:rPr>
                <w:rFonts w:ascii="Arial" w:hAnsi="Arial" w:cs="Arial"/>
                <w:bCs/>
                <w:sz w:val="18"/>
                <w:szCs w:val="18"/>
              </w:rPr>
            </w:pPr>
          </w:p>
          <w:p w:rsidR="007274FC" w:rsidRPr="00C514B6" w:rsidRDefault="007274FC" w:rsidP="00C54B15">
            <w:pPr>
              <w:pStyle w:val="Sinespaciado"/>
              <w:jc w:val="both"/>
              <w:rPr>
                <w:rFonts w:ascii="Arial" w:hAnsi="Arial" w:cs="Arial"/>
                <w:sz w:val="18"/>
                <w:szCs w:val="18"/>
                <w:lang w:val="es-CO"/>
              </w:rPr>
            </w:pPr>
            <w:bookmarkStart w:id="1" w:name="_Hlk19869698"/>
            <w:r w:rsidRPr="00C514B6">
              <w:rPr>
                <w:rFonts w:ascii="Arial" w:hAnsi="Arial" w:cs="Arial"/>
                <w:sz w:val="18"/>
                <w:szCs w:val="18"/>
                <w:lang w:val="es-CO"/>
              </w:rPr>
              <w:t xml:space="preserve">La presente Resolución establece </w:t>
            </w:r>
            <w:r>
              <w:rPr>
                <w:rFonts w:ascii="Arial" w:hAnsi="Arial" w:cs="Arial"/>
                <w:sz w:val="18"/>
                <w:szCs w:val="18"/>
                <w:lang w:val="es-CO"/>
              </w:rPr>
              <w:t xml:space="preserve">el ofrecimiento </w:t>
            </w:r>
            <w:r w:rsidRPr="00C514B6">
              <w:rPr>
                <w:rFonts w:ascii="Arial" w:hAnsi="Arial" w:cs="Arial"/>
                <w:sz w:val="18"/>
                <w:szCs w:val="18"/>
                <w:lang w:val="es-CO"/>
              </w:rPr>
              <w:t>de bienes propiedad del Departamento Administrativo para la Prosperidad Social, de tal manera que va dirigido a las entidades de control y vigilancia de todos los órdenes y ciudadanía en general.</w:t>
            </w:r>
          </w:p>
          <w:bookmarkEnd w:id="1"/>
          <w:p w:rsidR="007274FC" w:rsidRPr="00C514B6" w:rsidRDefault="007274FC" w:rsidP="00C54B15">
            <w:pPr>
              <w:pStyle w:val="Sinespaciado"/>
              <w:jc w:val="both"/>
              <w:rPr>
                <w:rFonts w:ascii="Arial" w:hAnsi="Arial" w:cs="Arial"/>
                <w:sz w:val="18"/>
                <w:szCs w:val="18"/>
                <w:lang w:val="es-CO"/>
              </w:rPr>
            </w:pPr>
          </w:p>
        </w:tc>
      </w:tr>
      <w:tr w:rsidR="007274FC" w:rsidRPr="00C514B6" w:rsidTr="00C54B15">
        <w:trPr>
          <w:trHeight w:val="1180"/>
        </w:trPr>
        <w:tc>
          <w:tcPr>
            <w:tcW w:w="3386" w:type="dxa"/>
            <w:shd w:val="clear" w:color="auto" w:fill="auto"/>
            <w:vAlign w:val="center"/>
          </w:tcPr>
          <w:p w:rsidR="007274FC" w:rsidRPr="00C514B6" w:rsidRDefault="007274FC" w:rsidP="00C54B15">
            <w:pPr>
              <w:pStyle w:val="Sinespaciado"/>
              <w:jc w:val="both"/>
              <w:rPr>
                <w:rFonts w:ascii="Arial" w:hAnsi="Arial" w:cs="Arial"/>
                <w:b/>
                <w:sz w:val="18"/>
                <w:szCs w:val="18"/>
                <w:lang w:val="es-CO"/>
              </w:rPr>
            </w:pPr>
            <w:r w:rsidRPr="00C514B6">
              <w:rPr>
                <w:rFonts w:ascii="Arial" w:hAnsi="Arial" w:cs="Arial"/>
                <w:b/>
                <w:sz w:val="18"/>
                <w:szCs w:val="18"/>
                <w:lang w:val="es-CO"/>
              </w:rPr>
              <w:t>4. Impacto económico si fuere el caso, el cual deberá señalar el costo o ahorro, de la implementación del respectivo acto.</w:t>
            </w:r>
          </w:p>
        </w:tc>
        <w:tc>
          <w:tcPr>
            <w:tcW w:w="6696" w:type="dxa"/>
            <w:gridSpan w:val="2"/>
            <w:vAlign w:val="center"/>
          </w:tcPr>
          <w:p w:rsidR="007274FC" w:rsidRPr="00C514B6" w:rsidRDefault="007274FC" w:rsidP="00C54B15">
            <w:pPr>
              <w:jc w:val="both"/>
              <w:rPr>
                <w:rFonts w:ascii="Arial" w:hAnsi="Arial" w:cs="Arial"/>
                <w:sz w:val="18"/>
                <w:szCs w:val="18"/>
                <w:lang w:val="es-CO"/>
              </w:rPr>
            </w:pPr>
            <w:r w:rsidRPr="00C514B6">
              <w:rPr>
                <w:rFonts w:ascii="Arial" w:hAnsi="Arial" w:cs="Arial"/>
                <w:sz w:val="18"/>
                <w:szCs w:val="18"/>
                <w:lang w:val="es-CO"/>
              </w:rPr>
              <w:t>Teniendo en cuenta que se trata de una Resolución encaminada a la depuración de inventarios y no genera impacto directo frente a terceros, no tiene un impacto económico específico.</w:t>
            </w:r>
          </w:p>
        </w:tc>
      </w:tr>
      <w:tr w:rsidR="007274FC" w:rsidRPr="00C514B6" w:rsidTr="00C54B15">
        <w:tc>
          <w:tcPr>
            <w:tcW w:w="3386" w:type="dxa"/>
            <w:vAlign w:val="center"/>
          </w:tcPr>
          <w:p w:rsidR="007274FC" w:rsidRPr="00C514B6" w:rsidRDefault="007274FC" w:rsidP="00C54B15">
            <w:pPr>
              <w:pStyle w:val="Sinespaciado"/>
              <w:jc w:val="both"/>
              <w:rPr>
                <w:rFonts w:ascii="Arial" w:hAnsi="Arial" w:cs="Arial"/>
                <w:b/>
                <w:sz w:val="18"/>
                <w:szCs w:val="18"/>
                <w:lang w:val="es-CO"/>
              </w:rPr>
            </w:pPr>
            <w:r w:rsidRPr="00C514B6">
              <w:rPr>
                <w:rFonts w:ascii="Arial" w:hAnsi="Arial" w:cs="Arial"/>
                <w:b/>
                <w:sz w:val="18"/>
                <w:szCs w:val="18"/>
                <w:lang w:val="es-CO"/>
              </w:rPr>
              <w:t xml:space="preserve">5. Disponibilidad presupuestal </w:t>
            </w:r>
          </w:p>
        </w:tc>
        <w:tc>
          <w:tcPr>
            <w:tcW w:w="6696" w:type="dxa"/>
            <w:gridSpan w:val="2"/>
            <w:vAlign w:val="center"/>
          </w:tcPr>
          <w:p w:rsidR="007274FC" w:rsidRPr="00C514B6" w:rsidRDefault="007274FC" w:rsidP="00C54B15">
            <w:pPr>
              <w:widowControl w:val="0"/>
              <w:autoSpaceDE w:val="0"/>
              <w:autoSpaceDN w:val="0"/>
              <w:adjustRightInd w:val="0"/>
              <w:jc w:val="both"/>
              <w:rPr>
                <w:rFonts w:ascii="Arial" w:hAnsi="Arial" w:cs="Arial"/>
                <w:sz w:val="18"/>
                <w:szCs w:val="18"/>
                <w:lang w:val="es-CO"/>
              </w:rPr>
            </w:pPr>
          </w:p>
          <w:p w:rsidR="007274FC" w:rsidRPr="00C514B6" w:rsidRDefault="007274FC" w:rsidP="00C54B15">
            <w:pPr>
              <w:widowControl w:val="0"/>
              <w:autoSpaceDE w:val="0"/>
              <w:autoSpaceDN w:val="0"/>
              <w:adjustRightInd w:val="0"/>
              <w:jc w:val="both"/>
              <w:rPr>
                <w:rFonts w:ascii="Arial" w:hAnsi="Arial" w:cs="Arial"/>
                <w:sz w:val="18"/>
                <w:szCs w:val="18"/>
                <w:lang w:val="es-CO"/>
              </w:rPr>
            </w:pPr>
            <w:r w:rsidRPr="00C514B6">
              <w:rPr>
                <w:rFonts w:ascii="Arial" w:hAnsi="Arial" w:cs="Arial"/>
                <w:sz w:val="18"/>
                <w:szCs w:val="18"/>
                <w:lang w:val="es-CO"/>
              </w:rPr>
              <w:t>De acuerdo con el punto anterior, a los considerandos y el contenido de la Resolución no requiere disponibilidad presupuestal.</w:t>
            </w:r>
          </w:p>
          <w:p w:rsidR="007274FC" w:rsidRPr="00C514B6" w:rsidRDefault="007274FC" w:rsidP="00C54B15">
            <w:pPr>
              <w:widowControl w:val="0"/>
              <w:autoSpaceDE w:val="0"/>
              <w:autoSpaceDN w:val="0"/>
              <w:adjustRightInd w:val="0"/>
              <w:jc w:val="both"/>
              <w:rPr>
                <w:rFonts w:ascii="Arial" w:hAnsi="Arial" w:cs="Arial"/>
                <w:sz w:val="18"/>
                <w:szCs w:val="18"/>
                <w:lang w:val="es-CO"/>
              </w:rPr>
            </w:pPr>
          </w:p>
        </w:tc>
      </w:tr>
      <w:tr w:rsidR="007274FC" w:rsidRPr="00C514B6" w:rsidTr="00C54B15">
        <w:tc>
          <w:tcPr>
            <w:tcW w:w="3386" w:type="dxa"/>
            <w:vAlign w:val="center"/>
          </w:tcPr>
          <w:p w:rsidR="007274FC" w:rsidRPr="00C514B6" w:rsidRDefault="007274FC" w:rsidP="00C54B15">
            <w:pPr>
              <w:pStyle w:val="Sinespaciado"/>
              <w:jc w:val="both"/>
              <w:rPr>
                <w:rFonts w:ascii="Arial" w:hAnsi="Arial" w:cs="Arial"/>
                <w:b/>
                <w:sz w:val="18"/>
                <w:szCs w:val="18"/>
                <w:lang w:val="es-CO"/>
              </w:rPr>
            </w:pPr>
            <w:r w:rsidRPr="00C514B6">
              <w:rPr>
                <w:rFonts w:ascii="Arial" w:hAnsi="Arial" w:cs="Arial"/>
                <w:b/>
                <w:sz w:val="18"/>
                <w:szCs w:val="18"/>
                <w:lang w:val="es-CO"/>
              </w:rPr>
              <w:lastRenderedPageBreak/>
              <w:t>6. Impacto medioambiental o sobre el patrimonio cultural de la Nación.</w:t>
            </w:r>
            <w:r w:rsidRPr="00C514B6">
              <w:rPr>
                <w:rFonts w:ascii="Arial" w:hAnsi="Arial" w:cs="Arial"/>
                <w:b/>
                <w:sz w:val="18"/>
                <w:szCs w:val="18"/>
                <w:lang w:val="es-CO"/>
              </w:rPr>
              <w:br/>
            </w:r>
          </w:p>
        </w:tc>
        <w:tc>
          <w:tcPr>
            <w:tcW w:w="6696" w:type="dxa"/>
            <w:gridSpan w:val="2"/>
            <w:vAlign w:val="center"/>
          </w:tcPr>
          <w:p w:rsidR="007274FC" w:rsidRPr="00C514B6" w:rsidRDefault="007274FC" w:rsidP="00C54B15">
            <w:pPr>
              <w:pStyle w:val="Sinespaciado"/>
              <w:jc w:val="both"/>
              <w:rPr>
                <w:rFonts w:ascii="Arial" w:hAnsi="Arial" w:cs="Arial"/>
                <w:sz w:val="18"/>
                <w:szCs w:val="18"/>
                <w:lang w:val="es-CO"/>
              </w:rPr>
            </w:pPr>
            <w:r w:rsidRPr="00C514B6">
              <w:rPr>
                <w:rFonts w:ascii="Arial" w:hAnsi="Arial" w:cs="Arial"/>
                <w:bCs/>
                <w:sz w:val="18"/>
                <w:szCs w:val="18"/>
              </w:rPr>
              <w:t>Las disposiciones contenidas en el proyecto de Resolución no tienen los referidos impactos.</w:t>
            </w:r>
          </w:p>
        </w:tc>
      </w:tr>
      <w:tr w:rsidR="007274FC" w:rsidRPr="00C514B6" w:rsidTr="00C54B15">
        <w:tc>
          <w:tcPr>
            <w:tcW w:w="3386" w:type="dxa"/>
            <w:vAlign w:val="center"/>
          </w:tcPr>
          <w:p w:rsidR="007274FC" w:rsidRPr="00C514B6" w:rsidRDefault="007274FC" w:rsidP="00C54B15">
            <w:pPr>
              <w:pStyle w:val="Sinespaciado"/>
              <w:jc w:val="both"/>
              <w:rPr>
                <w:rFonts w:ascii="Arial" w:hAnsi="Arial" w:cs="Arial"/>
                <w:b/>
                <w:sz w:val="18"/>
                <w:szCs w:val="18"/>
                <w:lang w:val="es-CO"/>
              </w:rPr>
            </w:pPr>
            <w:r w:rsidRPr="00C514B6">
              <w:rPr>
                <w:rFonts w:ascii="Arial" w:hAnsi="Arial" w:cs="Arial"/>
                <w:b/>
                <w:sz w:val="18"/>
                <w:szCs w:val="18"/>
                <w:lang w:val="es-CO"/>
              </w:rPr>
              <w:t xml:space="preserve">7. El cumplimiento de los requisitos de consulta y publicidad cuando haya lugar a ello. </w:t>
            </w:r>
          </w:p>
        </w:tc>
        <w:tc>
          <w:tcPr>
            <w:tcW w:w="6696" w:type="dxa"/>
            <w:gridSpan w:val="2"/>
            <w:vAlign w:val="center"/>
          </w:tcPr>
          <w:p w:rsidR="007274FC" w:rsidRPr="00C514B6" w:rsidRDefault="007274FC" w:rsidP="00C54B15">
            <w:pPr>
              <w:pStyle w:val="Sinespaciado"/>
              <w:jc w:val="both"/>
              <w:rPr>
                <w:rFonts w:ascii="Arial" w:hAnsi="Arial" w:cs="Arial"/>
                <w:b/>
                <w:bCs/>
                <w:sz w:val="18"/>
                <w:szCs w:val="18"/>
              </w:rPr>
            </w:pPr>
          </w:p>
          <w:p w:rsidR="007274FC" w:rsidRPr="00C514B6" w:rsidRDefault="007274FC" w:rsidP="00C54B15">
            <w:pPr>
              <w:pStyle w:val="Sinespaciado"/>
              <w:jc w:val="both"/>
              <w:rPr>
                <w:rFonts w:ascii="Arial" w:hAnsi="Arial" w:cs="Arial"/>
                <w:bCs/>
                <w:sz w:val="18"/>
                <w:szCs w:val="18"/>
              </w:rPr>
            </w:pPr>
            <w:r w:rsidRPr="00C514B6">
              <w:rPr>
                <w:rFonts w:ascii="Arial" w:hAnsi="Arial" w:cs="Arial"/>
                <w:bCs/>
                <w:sz w:val="18"/>
                <w:szCs w:val="18"/>
              </w:rPr>
              <w:t>De acuerdo con su contenido, el proyecto de Resolución no es una decisión administrativa sujeta a las condiciones de la Ley 21 de 1991 en materia de consulta previa.</w:t>
            </w:r>
          </w:p>
          <w:p w:rsidR="007274FC" w:rsidRPr="00C514B6" w:rsidRDefault="007274FC" w:rsidP="00C54B15">
            <w:pPr>
              <w:pStyle w:val="Sinespaciado"/>
              <w:jc w:val="both"/>
              <w:rPr>
                <w:rFonts w:ascii="Arial" w:hAnsi="Arial" w:cs="Arial"/>
                <w:sz w:val="18"/>
                <w:szCs w:val="18"/>
              </w:rPr>
            </w:pPr>
          </w:p>
        </w:tc>
      </w:tr>
      <w:tr w:rsidR="007274FC" w:rsidRPr="001B2D0A" w:rsidTr="00C54B15">
        <w:trPr>
          <w:trHeight w:val="933"/>
        </w:trPr>
        <w:tc>
          <w:tcPr>
            <w:tcW w:w="3386" w:type="dxa"/>
            <w:vAlign w:val="center"/>
          </w:tcPr>
          <w:p w:rsidR="007274FC" w:rsidRPr="00C514B6" w:rsidRDefault="007274FC" w:rsidP="00C54B15">
            <w:pPr>
              <w:pStyle w:val="Sinespaciado"/>
              <w:jc w:val="both"/>
              <w:rPr>
                <w:rFonts w:ascii="Arial" w:hAnsi="Arial" w:cs="Arial"/>
                <w:b/>
                <w:sz w:val="18"/>
                <w:szCs w:val="18"/>
                <w:lang w:val="es-CO"/>
              </w:rPr>
            </w:pPr>
            <w:r w:rsidRPr="00C514B6">
              <w:rPr>
                <w:rFonts w:ascii="Arial" w:hAnsi="Arial" w:cs="Arial"/>
                <w:b/>
                <w:sz w:val="18"/>
                <w:szCs w:val="18"/>
                <w:lang w:val="es-CO"/>
              </w:rPr>
              <w:t>8. Cualquier otro aspecto que la entidad remitente considere relevante o de importancia para la adopción de la decisión.</w:t>
            </w:r>
          </w:p>
        </w:tc>
        <w:tc>
          <w:tcPr>
            <w:tcW w:w="6696" w:type="dxa"/>
            <w:gridSpan w:val="2"/>
            <w:vAlign w:val="center"/>
          </w:tcPr>
          <w:p w:rsidR="007274FC" w:rsidRPr="001B2D0A" w:rsidRDefault="007274FC" w:rsidP="00C54B15">
            <w:pPr>
              <w:pStyle w:val="Sinespaciado"/>
              <w:jc w:val="both"/>
              <w:rPr>
                <w:rFonts w:ascii="Arial" w:hAnsi="Arial" w:cs="Arial"/>
                <w:b/>
                <w:bCs/>
                <w:sz w:val="18"/>
                <w:szCs w:val="18"/>
              </w:rPr>
            </w:pPr>
            <w:r w:rsidRPr="00C514B6">
              <w:rPr>
                <w:rFonts w:ascii="Arial" w:hAnsi="Arial" w:cs="Arial"/>
                <w:bCs/>
                <w:sz w:val="18"/>
                <w:szCs w:val="18"/>
              </w:rPr>
              <w:t>NA.</w:t>
            </w:r>
          </w:p>
        </w:tc>
      </w:tr>
      <w:tr w:rsidR="007274FC" w:rsidRPr="001B2D0A" w:rsidTr="00C54B15">
        <w:trPr>
          <w:gridAfter w:val="1"/>
          <w:wAfter w:w="17" w:type="dxa"/>
          <w:trHeight w:val="739"/>
        </w:trPr>
        <w:tc>
          <w:tcPr>
            <w:tcW w:w="10065" w:type="dxa"/>
            <w:gridSpan w:val="2"/>
            <w:vAlign w:val="center"/>
          </w:tcPr>
          <w:p w:rsidR="007274FC" w:rsidRPr="001B2D0A" w:rsidRDefault="007274FC" w:rsidP="00C54B15">
            <w:pPr>
              <w:pStyle w:val="Sinespaciado"/>
              <w:jc w:val="both"/>
              <w:rPr>
                <w:rFonts w:ascii="Arial" w:hAnsi="Arial" w:cs="Arial"/>
                <w:sz w:val="18"/>
                <w:szCs w:val="18"/>
                <w:lang w:val="es-CO"/>
              </w:rPr>
            </w:pPr>
            <w:r w:rsidRPr="001B2D0A">
              <w:rPr>
                <w:rFonts w:ascii="Arial" w:hAnsi="Arial" w:cs="Arial"/>
                <w:b/>
                <w:sz w:val="18"/>
                <w:szCs w:val="18"/>
                <w:lang w:val="es-CO"/>
              </w:rPr>
              <w:t>9. Seguridad Jurídica:</w:t>
            </w:r>
            <w:r w:rsidRPr="001B2D0A">
              <w:rPr>
                <w:rFonts w:ascii="Arial" w:hAnsi="Arial" w:cs="Arial"/>
                <w:sz w:val="18"/>
                <w:szCs w:val="18"/>
                <w:lang w:val="es-CO"/>
              </w:rPr>
              <w:t xml:space="preserve"> Dentro del año inmediatamente anterior ya se había reglamentado la misma materia: </w:t>
            </w:r>
          </w:p>
          <w:p w:rsidR="007274FC" w:rsidRPr="001B2D0A" w:rsidRDefault="007274FC" w:rsidP="00C54B15">
            <w:pPr>
              <w:pStyle w:val="Sinespaciado"/>
              <w:jc w:val="both"/>
              <w:rPr>
                <w:rFonts w:ascii="Arial" w:hAnsi="Arial" w:cs="Arial"/>
                <w:sz w:val="18"/>
                <w:szCs w:val="18"/>
                <w:lang w:val="es-CO"/>
              </w:rPr>
            </w:pPr>
            <w:r w:rsidRPr="001B2D0A">
              <w:rPr>
                <w:rFonts w:ascii="Arial" w:hAnsi="Arial" w:cs="Arial"/>
                <w:sz w:val="18"/>
                <w:szCs w:val="18"/>
                <w:lang w:val="es-CO"/>
              </w:rPr>
              <w:t xml:space="preserve">SI: </w:t>
            </w:r>
            <w:r w:rsidRPr="001B2D0A">
              <w:rPr>
                <w:rFonts w:ascii="Arial" w:hAnsi="Arial" w:cs="Arial"/>
                <w:b/>
                <w:sz w:val="18"/>
                <w:szCs w:val="18"/>
                <w:lang w:val="es-CO"/>
              </w:rPr>
              <w:t>______</w:t>
            </w:r>
            <w:r w:rsidRPr="001B2D0A">
              <w:rPr>
                <w:rFonts w:ascii="Arial" w:hAnsi="Arial" w:cs="Arial"/>
                <w:sz w:val="18"/>
                <w:szCs w:val="18"/>
                <w:lang w:val="es-CO"/>
              </w:rPr>
              <w:t xml:space="preserve">                   </w:t>
            </w:r>
            <w:r w:rsidRPr="001B2D0A">
              <w:rPr>
                <w:rFonts w:ascii="Arial" w:hAnsi="Arial" w:cs="Arial"/>
                <w:b/>
                <w:sz w:val="18"/>
                <w:szCs w:val="18"/>
                <w:lang w:val="es-CO"/>
              </w:rPr>
              <w:t xml:space="preserve">NO: </w:t>
            </w:r>
            <w:r w:rsidRPr="001B2D0A">
              <w:rPr>
                <w:rFonts w:ascii="Arial" w:hAnsi="Arial" w:cs="Arial"/>
                <w:b/>
                <w:sz w:val="18"/>
                <w:szCs w:val="18"/>
              </w:rPr>
              <w:t>_x___</w:t>
            </w:r>
          </w:p>
        </w:tc>
      </w:tr>
    </w:tbl>
    <w:p w:rsidR="007274FC" w:rsidRPr="001B2D0A" w:rsidRDefault="007274FC" w:rsidP="007274FC">
      <w:pPr>
        <w:pStyle w:val="Sinespaciado"/>
        <w:jc w:val="both"/>
        <w:rPr>
          <w:rFonts w:ascii="Arial" w:hAnsi="Arial" w:cs="Arial"/>
          <w:sz w:val="18"/>
          <w:szCs w:val="18"/>
          <w:lang w:val="es-CO"/>
        </w:rPr>
      </w:pPr>
    </w:p>
    <w:tbl>
      <w:tblPr>
        <w:tblW w:w="100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79"/>
      </w:tblGrid>
      <w:tr w:rsidR="007274FC" w:rsidRPr="002D4801" w:rsidTr="00C54B15">
        <w:trPr>
          <w:trHeight w:val="5055"/>
        </w:trPr>
        <w:tc>
          <w:tcPr>
            <w:tcW w:w="10079" w:type="dxa"/>
          </w:tcPr>
          <w:p w:rsidR="007274FC" w:rsidRPr="001B2D0A" w:rsidRDefault="007274FC" w:rsidP="00C54B15">
            <w:pPr>
              <w:pStyle w:val="Sinespaciado"/>
              <w:jc w:val="both"/>
              <w:rPr>
                <w:rFonts w:ascii="Arial" w:hAnsi="Arial" w:cs="Arial"/>
                <w:sz w:val="18"/>
                <w:szCs w:val="18"/>
                <w:lang w:val="es-CO"/>
              </w:rPr>
            </w:pPr>
          </w:p>
          <w:p w:rsidR="007274FC" w:rsidRPr="001B2D0A" w:rsidRDefault="007274FC" w:rsidP="00C54B15">
            <w:pPr>
              <w:pStyle w:val="Sinespaciado"/>
              <w:jc w:val="both"/>
              <w:rPr>
                <w:rFonts w:ascii="Arial" w:hAnsi="Arial" w:cs="Arial"/>
                <w:sz w:val="18"/>
                <w:szCs w:val="18"/>
              </w:rPr>
            </w:pPr>
            <w:r w:rsidRPr="001B2D0A">
              <w:rPr>
                <w:rFonts w:ascii="Arial" w:hAnsi="Arial" w:cs="Arial"/>
                <w:sz w:val="18"/>
                <w:szCs w:val="18"/>
                <w:lang w:val="es-CO"/>
              </w:rPr>
              <w:t>EL PROYECTO CUMPLE CON LAS DIRECTRICES DE TÉCNICA NORMATIVA PREVISTAS EN EL DECRETO No. 1081 de 2015:</w:t>
            </w:r>
            <w:r w:rsidRPr="001B2D0A">
              <w:rPr>
                <w:rFonts w:ascii="Arial" w:hAnsi="Arial" w:cs="Arial"/>
                <w:b/>
                <w:sz w:val="18"/>
                <w:szCs w:val="18"/>
                <w:lang w:val="es-CO"/>
              </w:rPr>
              <w:t xml:space="preserve"> SI </w:t>
            </w:r>
            <w:r w:rsidRPr="001B2D0A">
              <w:rPr>
                <w:rFonts w:ascii="Arial" w:hAnsi="Arial" w:cs="Arial"/>
                <w:b/>
                <w:sz w:val="18"/>
                <w:szCs w:val="18"/>
              </w:rPr>
              <w:t xml:space="preserve">_x__           </w:t>
            </w:r>
            <w:r w:rsidRPr="001B2D0A">
              <w:rPr>
                <w:rFonts w:ascii="Arial" w:hAnsi="Arial" w:cs="Arial"/>
                <w:sz w:val="18"/>
                <w:szCs w:val="18"/>
              </w:rPr>
              <w:t>NO _____</w:t>
            </w:r>
          </w:p>
          <w:p w:rsidR="007274FC" w:rsidRPr="001B2D0A" w:rsidRDefault="007274FC" w:rsidP="00C54B15">
            <w:pPr>
              <w:pStyle w:val="Sinespaciado"/>
              <w:jc w:val="both"/>
              <w:rPr>
                <w:rFonts w:ascii="Arial" w:hAnsi="Arial" w:cs="Arial"/>
                <w:sz w:val="18"/>
                <w:szCs w:val="18"/>
              </w:rPr>
            </w:pPr>
          </w:p>
          <w:p w:rsidR="007274FC" w:rsidRPr="001B2D0A" w:rsidRDefault="007274FC" w:rsidP="00C54B15">
            <w:pPr>
              <w:pStyle w:val="Sinespaciado"/>
              <w:jc w:val="both"/>
              <w:rPr>
                <w:rFonts w:ascii="Arial" w:hAnsi="Arial" w:cs="Arial"/>
                <w:b/>
                <w:sz w:val="18"/>
                <w:szCs w:val="18"/>
              </w:rPr>
            </w:pPr>
            <w:r w:rsidRPr="001B2D0A">
              <w:rPr>
                <w:rFonts w:ascii="Arial" w:hAnsi="Arial" w:cs="Arial"/>
                <w:b/>
                <w:sz w:val="18"/>
                <w:szCs w:val="18"/>
              </w:rPr>
              <w:t>Viabilidad Jurídica:</w:t>
            </w:r>
          </w:p>
          <w:p w:rsidR="007274FC" w:rsidRPr="001B2D0A" w:rsidRDefault="007274FC" w:rsidP="00C54B15">
            <w:pPr>
              <w:pStyle w:val="Sinespaciado"/>
              <w:jc w:val="both"/>
              <w:rPr>
                <w:rFonts w:ascii="Arial" w:hAnsi="Arial" w:cs="Arial"/>
                <w:sz w:val="18"/>
                <w:szCs w:val="18"/>
              </w:rPr>
            </w:pPr>
          </w:p>
          <w:p w:rsidR="007274FC" w:rsidRPr="001B2D0A" w:rsidRDefault="007274FC" w:rsidP="00C54B15">
            <w:pPr>
              <w:pStyle w:val="Sinespaciado"/>
              <w:jc w:val="both"/>
              <w:rPr>
                <w:rFonts w:ascii="Arial" w:hAnsi="Arial" w:cs="Arial"/>
                <w:b/>
                <w:sz w:val="18"/>
                <w:szCs w:val="18"/>
              </w:rPr>
            </w:pPr>
            <w:r w:rsidRPr="001B2D0A">
              <w:rPr>
                <w:rFonts w:ascii="Arial" w:hAnsi="Arial" w:cs="Arial"/>
                <w:sz w:val="18"/>
                <w:szCs w:val="18"/>
              </w:rPr>
              <w:t xml:space="preserve"> </w:t>
            </w:r>
            <w:r w:rsidRPr="001B2D0A">
              <w:rPr>
                <w:rFonts w:ascii="Arial" w:hAnsi="Arial" w:cs="Arial"/>
                <w:b/>
                <w:sz w:val="18"/>
                <w:szCs w:val="18"/>
              </w:rPr>
              <w:t>a. Análisis expreso y detallado de normas de competencia.</w:t>
            </w:r>
          </w:p>
          <w:p w:rsidR="007274FC" w:rsidRPr="001B2D0A" w:rsidRDefault="007274FC" w:rsidP="00C54B15">
            <w:pPr>
              <w:pStyle w:val="Sinespaciado"/>
              <w:jc w:val="both"/>
              <w:rPr>
                <w:rFonts w:ascii="Arial" w:hAnsi="Arial" w:cs="Arial"/>
                <w:b/>
                <w:sz w:val="18"/>
                <w:szCs w:val="18"/>
              </w:rPr>
            </w:pPr>
          </w:p>
          <w:p w:rsidR="007274FC" w:rsidRPr="001B2D0A" w:rsidRDefault="007274FC" w:rsidP="00C54B15">
            <w:pPr>
              <w:pStyle w:val="Sinespaciado"/>
              <w:jc w:val="both"/>
              <w:rPr>
                <w:rFonts w:ascii="Arial" w:hAnsi="Arial" w:cs="Arial"/>
                <w:b/>
                <w:sz w:val="18"/>
                <w:szCs w:val="18"/>
              </w:rPr>
            </w:pPr>
            <w:r w:rsidRPr="001B2D0A">
              <w:rPr>
                <w:rFonts w:ascii="Arial" w:hAnsi="Arial" w:cs="Arial"/>
                <w:b/>
                <w:sz w:val="18"/>
                <w:szCs w:val="18"/>
              </w:rPr>
              <w:t>i. Dispone la Constitución Política</w:t>
            </w:r>
          </w:p>
          <w:p w:rsidR="007274FC" w:rsidRPr="001B2D0A" w:rsidRDefault="007274FC" w:rsidP="00C54B15">
            <w:pPr>
              <w:pStyle w:val="Sinespaciado"/>
              <w:jc w:val="both"/>
              <w:rPr>
                <w:rFonts w:ascii="Arial" w:hAnsi="Arial" w:cs="Arial"/>
                <w:sz w:val="18"/>
                <w:szCs w:val="18"/>
              </w:rPr>
            </w:pPr>
          </w:p>
          <w:p w:rsidR="007274FC" w:rsidRPr="001B2D0A" w:rsidRDefault="007274FC" w:rsidP="00C54B15">
            <w:pPr>
              <w:pStyle w:val="Sinespaciado"/>
              <w:jc w:val="both"/>
              <w:rPr>
                <w:rFonts w:ascii="Arial" w:hAnsi="Arial" w:cs="Arial"/>
                <w:sz w:val="18"/>
                <w:szCs w:val="18"/>
              </w:rPr>
            </w:pPr>
            <w:r w:rsidRPr="001B2D0A">
              <w:rPr>
                <w:rFonts w:ascii="Arial" w:hAnsi="Arial" w:cs="Arial"/>
                <w:sz w:val="18"/>
                <w:szCs w:val="18"/>
              </w:rPr>
              <w:t>Artículo 189. “(…) Corresponde al Presidente de la República como Jefe de Estado, Jefe del Gobierno y Suprema Autoridad Administrativa: (…)</w:t>
            </w:r>
            <w:bookmarkStart w:id="2" w:name="189.11"/>
            <w:bookmarkEnd w:id="2"/>
            <w:r w:rsidRPr="001B2D0A">
              <w:rPr>
                <w:rFonts w:ascii="Arial" w:hAnsi="Arial" w:cs="Arial"/>
                <w:sz w:val="18"/>
                <w:szCs w:val="18"/>
              </w:rPr>
              <w:t xml:space="preserve"> 11. Ejercer la potestad reglamentaria, mediante la expedición de los decretos, resoluciones y órdenes necesarios para la cumplida ejecución de las leyes (…) 14. Crear, fusionar o suprimir, conforme a la ley, los empleos que demande la administración central, señalar sus funciones especiales y fijar sus dotaciones y emolumentos. El Gobierno no podrá crear, con cargo al Tesoro, obligaciones que excedan el monto global fijado para el respectivo servicio en la ley de apropiaciones iniciales. (…) 15. Suprimir o fusionar entidades u organismos administrativos nacionales de conformidad con la ley”. </w:t>
            </w:r>
          </w:p>
          <w:p w:rsidR="007274FC" w:rsidRPr="001B2D0A" w:rsidRDefault="007274FC" w:rsidP="00C54B15">
            <w:pPr>
              <w:pStyle w:val="Sinespaciado"/>
              <w:jc w:val="both"/>
              <w:rPr>
                <w:rFonts w:ascii="Arial" w:hAnsi="Arial" w:cs="Arial"/>
                <w:sz w:val="18"/>
                <w:szCs w:val="18"/>
              </w:rPr>
            </w:pPr>
          </w:p>
          <w:p w:rsidR="007274FC" w:rsidRPr="001B2D0A" w:rsidRDefault="007274FC" w:rsidP="00C54B15">
            <w:pPr>
              <w:pStyle w:val="Sinespaciado"/>
              <w:jc w:val="both"/>
              <w:rPr>
                <w:rFonts w:ascii="Arial" w:hAnsi="Arial" w:cs="Arial"/>
                <w:b/>
                <w:sz w:val="18"/>
                <w:szCs w:val="18"/>
              </w:rPr>
            </w:pPr>
            <w:r w:rsidRPr="001B2D0A">
              <w:rPr>
                <w:rFonts w:ascii="Arial" w:hAnsi="Arial" w:cs="Arial"/>
                <w:b/>
                <w:sz w:val="18"/>
                <w:szCs w:val="18"/>
              </w:rPr>
              <w:t>ii. Creación y modificación DPS</w:t>
            </w:r>
          </w:p>
          <w:p w:rsidR="007274FC" w:rsidRPr="001B2D0A" w:rsidRDefault="007274FC" w:rsidP="00C54B15">
            <w:pPr>
              <w:pStyle w:val="Sinespaciado"/>
              <w:jc w:val="both"/>
              <w:rPr>
                <w:rFonts w:ascii="Arial" w:hAnsi="Arial" w:cs="Arial"/>
                <w:sz w:val="18"/>
                <w:szCs w:val="18"/>
              </w:rPr>
            </w:pPr>
          </w:p>
          <w:p w:rsidR="007274FC" w:rsidRPr="001B2D0A" w:rsidRDefault="007274FC" w:rsidP="00C54B15">
            <w:pPr>
              <w:pStyle w:val="Sinespaciado"/>
              <w:jc w:val="both"/>
              <w:rPr>
                <w:rFonts w:ascii="Arial" w:hAnsi="Arial" w:cs="Arial"/>
                <w:sz w:val="18"/>
                <w:szCs w:val="18"/>
              </w:rPr>
            </w:pPr>
            <w:r w:rsidRPr="001B2D0A">
              <w:rPr>
                <w:rFonts w:ascii="Arial" w:hAnsi="Arial" w:cs="Arial"/>
                <w:sz w:val="18"/>
                <w:szCs w:val="18"/>
              </w:rPr>
              <w:t>LEY 368 DE 1997(mayo 5)</w:t>
            </w:r>
          </w:p>
          <w:p w:rsidR="007274FC" w:rsidRPr="001B2D0A" w:rsidRDefault="007274FC" w:rsidP="00C54B15">
            <w:pPr>
              <w:pStyle w:val="Sinespaciado"/>
              <w:jc w:val="both"/>
              <w:rPr>
                <w:rFonts w:ascii="Arial" w:hAnsi="Arial" w:cs="Arial"/>
                <w:sz w:val="18"/>
                <w:szCs w:val="18"/>
              </w:rPr>
            </w:pPr>
            <w:r w:rsidRPr="001B2D0A">
              <w:rPr>
                <w:rFonts w:ascii="Arial" w:hAnsi="Arial" w:cs="Arial"/>
                <w:sz w:val="18"/>
                <w:szCs w:val="18"/>
              </w:rPr>
              <w:t>“Por la cual se crea la Red de Solidaridad Social, el Fondo de Programas Especiales para la Paz, y el Fondo del Plan Nacional de Desarrollo Alternativo -Fondo Plante-, y se dictan otras disposiciones. “Por medio de la cual se establece la Red para la Superación de la Pobreza Extrema-Red Unidos y se dictan otras disposiciones”</w:t>
            </w:r>
          </w:p>
          <w:p w:rsidR="007274FC" w:rsidRPr="001B2D0A" w:rsidRDefault="007274FC" w:rsidP="00C54B15">
            <w:pPr>
              <w:pStyle w:val="Sinespaciado"/>
              <w:jc w:val="both"/>
              <w:rPr>
                <w:rFonts w:ascii="Arial" w:hAnsi="Arial" w:cs="Arial"/>
                <w:sz w:val="18"/>
                <w:szCs w:val="18"/>
              </w:rPr>
            </w:pPr>
          </w:p>
          <w:p w:rsidR="007274FC" w:rsidRPr="001B2D0A" w:rsidRDefault="007274FC" w:rsidP="00C54B15">
            <w:pPr>
              <w:pStyle w:val="Sinespaciado"/>
              <w:jc w:val="both"/>
              <w:rPr>
                <w:rFonts w:ascii="Arial" w:hAnsi="Arial" w:cs="Arial"/>
                <w:sz w:val="18"/>
                <w:szCs w:val="18"/>
              </w:rPr>
            </w:pPr>
            <w:r w:rsidRPr="001B2D0A">
              <w:rPr>
                <w:rFonts w:ascii="Arial" w:hAnsi="Arial" w:cs="Arial"/>
                <w:sz w:val="18"/>
                <w:szCs w:val="18"/>
              </w:rPr>
              <w:t>DECRETO 2467 DE 2005 (julio 19)</w:t>
            </w:r>
          </w:p>
          <w:p w:rsidR="007274FC" w:rsidRPr="001B2D0A" w:rsidRDefault="007274FC" w:rsidP="00C54B15">
            <w:pPr>
              <w:pStyle w:val="Sinespaciado"/>
              <w:jc w:val="both"/>
              <w:rPr>
                <w:rFonts w:ascii="Arial" w:hAnsi="Arial" w:cs="Arial"/>
                <w:sz w:val="18"/>
                <w:szCs w:val="18"/>
              </w:rPr>
            </w:pPr>
            <w:r w:rsidRPr="001B2D0A">
              <w:rPr>
                <w:rFonts w:ascii="Arial" w:hAnsi="Arial" w:cs="Arial"/>
                <w:sz w:val="18"/>
                <w:szCs w:val="18"/>
              </w:rPr>
              <w:t>“Por el cual se fusiona la Agencia Colombiana de Cooperación Internacional, ACCI, a la Red de Solidaridad Social, RSS, y se dictan otras disposiciones”.</w:t>
            </w:r>
          </w:p>
          <w:p w:rsidR="007274FC" w:rsidRPr="001B2D0A" w:rsidRDefault="007274FC" w:rsidP="00C54B15">
            <w:pPr>
              <w:pStyle w:val="Sinespaciado"/>
              <w:jc w:val="both"/>
              <w:rPr>
                <w:rFonts w:ascii="Arial" w:hAnsi="Arial" w:cs="Arial"/>
                <w:sz w:val="18"/>
                <w:szCs w:val="18"/>
              </w:rPr>
            </w:pPr>
          </w:p>
          <w:p w:rsidR="007274FC" w:rsidRPr="001B2D0A" w:rsidRDefault="007274FC" w:rsidP="00C54B15">
            <w:pPr>
              <w:pStyle w:val="Sinespaciado"/>
              <w:jc w:val="both"/>
              <w:rPr>
                <w:rFonts w:ascii="Arial" w:hAnsi="Arial" w:cs="Arial"/>
                <w:sz w:val="18"/>
                <w:szCs w:val="18"/>
              </w:rPr>
            </w:pPr>
            <w:r w:rsidRPr="001B2D0A">
              <w:rPr>
                <w:rFonts w:ascii="Arial" w:hAnsi="Arial" w:cs="Arial"/>
                <w:sz w:val="18"/>
                <w:szCs w:val="18"/>
              </w:rPr>
              <w:t>DECRETO 4155 DE 2011 (noviembre 3)</w:t>
            </w:r>
          </w:p>
          <w:p w:rsidR="007274FC" w:rsidRPr="001B2D0A" w:rsidRDefault="007274FC" w:rsidP="00C54B15">
            <w:pPr>
              <w:pStyle w:val="Sinespaciado"/>
              <w:jc w:val="both"/>
              <w:rPr>
                <w:rFonts w:ascii="Arial" w:hAnsi="Arial" w:cs="Arial"/>
                <w:sz w:val="18"/>
                <w:szCs w:val="18"/>
              </w:rPr>
            </w:pPr>
            <w:r w:rsidRPr="001B2D0A">
              <w:rPr>
                <w:rFonts w:ascii="Arial" w:hAnsi="Arial" w:cs="Arial"/>
                <w:sz w:val="18"/>
                <w:szCs w:val="18"/>
              </w:rPr>
              <w:t>“Por el cual se transforma la Agencia Presidencial para la Acción Social y la Cooperación Internacional (Acción Social) en Departamento Administrativo para la Prosperidad Social, perteneciente al Sector Administrativo de Inclusión Social y Reconciliación, y se fija su objetivo y estructura”.</w:t>
            </w:r>
          </w:p>
          <w:p w:rsidR="007274FC" w:rsidRPr="001B2D0A" w:rsidRDefault="007274FC" w:rsidP="00C54B15">
            <w:pPr>
              <w:pStyle w:val="Sinespaciado"/>
              <w:jc w:val="both"/>
              <w:rPr>
                <w:rFonts w:ascii="Arial" w:hAnsi="Arial" w:cs="Arial"/>
                <w:sz w:val="18"/>
                <w:szCs w:val="18"/>
              </w:rPr>
            </w:pPr>
          </w:p>
          <w:p w:rsidR="007274FC" w:rsidRPr="001B2D0A" w:rsidRDefault="007274FC" w:rsidP="00C54B15">
            <w:pPr>
              <w:pStyle w:val="Sinespaciado"/>
              <w:jc w:val="both"/>
              <w:rPr>
                <w:rFonts w:ascii="Arial" w:hAnsi="Arial" w:cs="Arial"/>
                <w:sz w:val="18"/>
                <w:szCs w:val="18"/>
              </w:rPr>
            </w:pPr>
            <w:r w:rsidRPr="001B2D0A">
              <w:rPr>
                <w:rFonts w:ascii="Arial" w:hAnsi="Arial" w:cs="Arial"/>
                <w:sz w:val="18"/>
                <w:szCs w:val="18"/>
              </w:rPr>
              <w:t>DECRETO 2094 DE 2016</w:t>
            </w:r>
          </w:p>
          <w:p w:rsidR="007274FC" w:rsidRPr="001B2D0A" w:rsidRDefault="007274FC" w:rsidP="00C54B15">
            <w:pPr>
              <w:pStyle w:val="Sinespaciado"/>
              <w:jc w:val="both"/>
              <w:rPr>
                <w:rFonts w:ascii="Arial" w:hAnsi="Arial" w:cs="Arial"/>
                <w:sz w:val="18"/>
                <w:szCs w:val="18"/>
              </w:rPr>
            </w:pPr>
          </w:p>
          <w:p w:rsidR="007274FC" w:rsidRPr="001B2D0A" w:rsidRDefault="007274FC" w:rsidP="00C54B15">
            <w:pPr>
              <w:pStyle w:val="Sinespaciado"/>
              <w:jc w:val="both"/>
              <w:rPr>
                <w:rFonts w:ascii="Arial" w:hAnsi="Arial" w:cs="Arial"/>
                <w:sz w:val="18"/>
                <w:szCs w:val="18"/>
              </w:rPr>
            </w:pPr>
            <w:r w:rsidRPr="001B2D0A">
              <w:rPr>
                <w:rFonts w:ascii="Arial" w:hAnsi="Arial" w:cs="Arial"/>
                <w:sz w:val="18"/>
                <w:szCs w:val="18"/>
              </w:rPr>
              <w:t>Artículo 3. Objetivo. El Departamento Administrativo para la Prosperidad Social  tiene como objetivo dentro del marco sus competencias y de la Ley, formular, adoptar, dirigir, coordinar y ejecutar las políticas, planes, programas y proyectos para la inclusión social y la reconciliación en términos de la superación de la pobreza y la pobreza extrema, la atención de grupos vulnerables, la atención integral a la primera infancia, infancia y adolescencia, y la atención y reparación a víctimas del conflicto armado a las que se refiere el artículo 3o de la 1448 de 2011, el cual desarrollará directamente o a través de sus entidades adscritas o vinculadas, en coordinación con las demás entidades u organismos del Estado competentes.</w:t>
            </w:r>
          </w:p>
          <w:p w:rsidR="007274FC" w:rsidRPr="001B2D0A" w:rsidRDefault="007274FC" w:rsidP="00C54B15">
            <w:pPr>
              <w:pStyle w:val="Sinespaciado"/>
              <w:jc w:val="both"/>
              <w:rPr>
                <w:rFonts w:ascii="Arial" w:hAnsi="Arial" w:cs="Arial"/>
                <w:sz w:val="18"/>
                <w:szCs w:val="18"/>
              </w:rPr>
            </w:pPr>
          </w:p>
          <w:p w:rsidR="007274FC" w:rsidRPr="001B2D0A" w:rsidRDefault="007274FC" w:rsidP="00C54B15">
            <w:pPr>
              <w:pStyle w:val="Sinespaciado"/>
              <w:jc w:val="both"/>
              <w:rPr>
                <w:rFonts w:ascii="Arial" w:hAnsi="Arial" w:cs="Arial"/>
                <w:sz w:val="18"/>
                <w:szCs w:val="18"/>
              </w:rPr>
            </w:pPr>
            <w:r w:rsidRPr="001B2D0A">
              <w:rPr>
                <w:rFonts w:ascii="Arial" w:hAnsi="Arial" w:cs="Arial"/>
                <w:sz w:val="18"/>
                <w:szCs w:val="18"/>
              </w:rPr>
              <w:t xml:space="preserve">“Por medio de la cual se modifica la estructura del Departamento Administrativo para la Prosperidad Social” </w:t>
            </w:r>
          </w:p>
          <w:p w:rsidR="007274FC" w:rsidRPr="001B2D0A" w:rsidRDefault="007274FC" w:rsidP="00C54B15">
            <w:pPr>
              <w:pStyle w:val="Sinespaciado"/>
              <w:jc w:val="both"/>
              <w:rPr>
                <w:rFonts w:ascii="Arial" w:hAnsi="Arial" w:cs="Arial"/>
                <w:sz w:val="18"/>
                <w:szCs w:val="18"/>
              </w:rPr>
            </w:pPr>
          </w:p>
          <w:p w:rsidR="007274FC" w:rsidRPr="001B2D0A" w:rsidRDefault="007274FC" w:rsidP="00C54B15">
            <w:pPr>
              <w:jc w:val="both"/>
              <w:rPr>
                <w:rFonts w:ascii="Arial" w:hAnsi="Arial" w:cs="Arial"/>
                <w:sz w:val="18"/>
                <w:szCs w:val="18"/>
              </w:rPr>
            </w:pPr>
            <w:r w:rsidRPr="001B2D0A">
              <w:rPr>
                <w:rFonts w:ascii="Arial" w:hAnsi="Arial" w:cs="Arial"/>
                <w:b/>
                <w:sz w:val="18"/>
                <w:szCs w:val="18"/>
              </w:rPr>
              <w:t xml:space="preserve">iii. Resolución 01881 de 23 de junio de 2017 </w:t>
            </w:r>
            <w:r w:rsidRPr="001B2D0A">
              <w:rPr>
                <w:rFonts w:ascii="Arial" w:hAnsi="Arial" w:cs="Arial"/>
                <w:sz w:val="18"/>
                <w:szCs w:val="18"/>
              </w:rPr>
              <w:t xml:space="preserve">Por medio de la cual se delega la ordenación del gasto del Departamento Administrativo para la Prosperidad Social - Prosperidad Social y el Fondo de Inversión para la Paz - FIP y se dictan otras disposiciones" </w:t>
            </w:r>
          </w:p>
          <w:p w:rsidR="007274FC" w:rsidRPr="001B2D0A" w:rsidRDefault="007274FC" w:rsidP="00C54B15">
            <w:pPr>
              <w:pStyle w:val="Sinespaciado"/>
              <w:jc w:val="both"/>
              <w:rPr>
                <w:rFonts w:ascii="Arial" w:hAnsi="Arial" w:cs="Arial"/>
                <w:b/>
                <w:sz w:val="18"/>
                <w:szCs w:val="18"/>
              </w:rPr>
            </w:pPr>
            <w:r w:rsidRPr="001B2D0A">
              <w:rPr>
                <w:rFonts w:ascii="Arial" w:hAnsi="Arial" w:cs="Arial"/>
                <w:b/>
                <w:sz w:val="18"/>
                <w:szCs w:val="18"/>
              </w:rPr>
              <w:t xml:space="preserve"> </w:t>
            </w:r>
          </w:p>
          <w:p w:rsidR="007274FC" w:rsidRPr="001B2D0A" w:rsidRDefault="007274FC" w:rsidP="00C54B15">
            <w:pPr>
              <w:pStyle w:val="Sinespaciado"/>
              <w:jc w:val="both"/>
              <w:rPr>
                <w:rFonts w:ascii="Arial" w:hAnsi="Arial" w:cs="Arial"/>
                <w:b/>
                <w:sz w:val="18"/>
                <w:szCs w:val="18"/>
              </w:rPr>
            </w:pPr>
          </w:p>
          <w:p w:rsidR="007274FC" w:rsidRPr="001B2D0A" w:rsidRDefault="007274FC" w:rsidP="00C54B15">
            <w:pPr>
              <w:pStyle w:val="Sinespaciado"/>
              <w:jc w:val="both"/>
              <w:rPr>
                <w:rFonts w:ascii="Arial" w:hAnsi="Arial" w:cs="Arial"/>
                <w:b/>
                <w:sz w:val="18"/>
                <w:szCs w:val="18"/>
              </w:rPr>
            </w:pPr>
          </w:p>
          <w:p w:rsidR="007274FC" w:rsidRPr="001B2D0A" w:rsidRDefault="007274FC" w:rsidP="00C54B15">
            <w:pPr>
              <w:pStyle w:val="Sinespaciado"/>
              <w:jc w:val="both"/>
              <w:rPr>
                <w:rFonts w:ascii="Arial" w:hAnsi="Arial" w:cs="Arial"/>
                <w:sz w:val="18"/>
                <w:szCs w:val="18"/>
              </w:rPr>
            </w:pPr>
            <w:r w:rsidRPr="001B2D0A">
              <w:rPr>
                <w:rFonts w:ascii="Arial" w:hAnsi="Arial" w:cs="Arial"/>
                <w:sz w:val="18"/>
                <w:szCs w:val="18"/>
              </w:rPr>
              <w:t xml:space="preserve">Artículo Primero. Delegar en el Secretario General del Departamento Administrativo para la Prosperidad Social, las siguientes facultades: </w:t>
            </w:r>
          </w:p>
          <w:p w:rsidR="007274FC" w:rsidRPr="001B2D0A" w:rsidRDefault="007274FC" w:rsidP="00C54B15">
            <w:pPr>
              <w:pStyle w:val="Sinespaciado"/>
              <w:jc w:val="both"/>
              <w:rPr>
                <w:rFonts w:ascii="Arial" w:hAnsi="Arial" w:cs="Arial"/>
                <w:sz w:val="18"/>
                <w:szCs w:val="18"/>
              </w:rPr>
            </w:pPr>
            <w:r w:rsidRPr="001B2D0A">
              <w:rPr>
                <w:rFonts w:ascii="Arial" w:hAnsi="Arial" w:cs="Arial"/>
                <w:sz w:val="18"/>
                <w:szCs w:val="18"/>
              </w:rPr>
              <w:t xml:space="preserve">“(…) 8. Suscribir los actos administrativos emanados de las decisiones del Comité de Evaluación de Bienes de la Entidad”. </w:t>
            </w:r>
          </w:p>
          <w:p w:rsidR="007274FC" w:rsidRPr="001B2D0A" w:rsidRDefault="007274FC" w:rsidP="00C54B15">
            <w:pPr>
              <w:pStyle w:val="Sinespaciado"/>
              <w:jc w:val="both"/>
              <w:rPr>
                <w:rFonts w:ascii="Arial" w:hAnsi="Arial" w:cs="Arial"/>
                <w:sz w:val="18"/>
                <w:szCs w:val="18"/>
              </w:rPr>
            </w:pPr>
          </w:p>
          <w:p w:rsidR="007274FC" w:rsidRPr="001B2D0A" w:rsidRDefault="007274FC" w:rsidP="00C54B15">
            <w:pPr>
              <w:pStyle w:val="Sinespaciado"/>
              <w:jc w:val="both"/>
              <w:rPr>
                <w:rFonts w:ascii="Arial" w:hAnsi="Arial" w:cs="Arial"/>
                <w:b/>
                <w:sz w:val="18"/>
                <w:szCs w:val="18"/>
              </w:rPr>
            </w:pPr>
          </w:p>
          <w:p w:rsidR="007274FC" w:rsidRPr="001B2D0A" w:rsidRDefault="007274FC" w:rsidP="00C54B15">
            <w:pPr>
              <w:pStyle w:val="Sinespaciado"/>
              <w:jc w:val="both"/>
              <w:rPr>
                <w:rFonts w:ascii="Arial" w:hAnsi="Arial" w:cs="Arial"/>
                <w:sz w:val="18"/>
                <w:szCs w:val="18"/>
              </w:rPr>
            </w:pPr>
          </w:p>
          <w:p w:rsidR="007274FC" w:rsidRPr="001B2D0A" w:rsidRDefault="007274FC" w:rsidP="00C54B15">
            <w:pPr>
              <w:pStyle w:val="Sinespaciado"/>
              <w:jc w:val="both"/>
              <w:rPr>
                <w:rFonts w:ascii="Arial" w:hAnsi="Arial" w:cs="Arial"/>
                <w:sz w:val="18"/>
                <w:szCs w:val="18"/>
              </w:rPr>
            </w:pPr>
          </w:p>
          <w:p w:rsidR="007274FC" w:rsidRPr="001B2D0A" w:rsidRDefault="007274FC" w:rsidP="00C54B15">
            <w:pPr>
              <w:pStyle w:val="Sinespaciado"/>
              <w:jc w:val="both"/>
              <w:rPr>
                <w:rFonts w:ascii="Arial" w:hAnsi="Arial" w:cs="Arial"/>
                <w:sz w:val="18"/>
                <w:szCs w:val="18"/>
              </w:rPr>
            </w:pPr>
          </w:p>
          <w:p w:rsidR="007274FC" w:rsidRPr="001B2D0A" w:rsidRDefault="007274FC" w:rsidP="00C54B15">
            <w:pPr>
              <w:pStyle w:val="Sinespaciado"/>
              <w:jc w:val="both"/>
              <w:rPr>
                <w:rFonts w:ascii="Arial" w:hAnsi="Arial" w:cs="Arial"/>
                <w:b/>
                <w:sz w:val="18"/>
                <w:szCs w:val="18"/>
              </w:rPr>
            </w:pPr>
            <w:r w:rsidRPr="001B2D0A">
              <w:rPr>
                <w:rFonts w:ascii="Arial" w:hAnsi="Arial" w:cs="Arial"/>
                <w:b/>
                <w:sz w:val="18"/>
                <w:szCs w:val="18"/>
              </w:rPr>
              <w:t>Lucy Edrey Acevedo Meneses</w:t>
            </w:r>
          </w:p>
          <w:p w:rsidR="007274FC" w:rsidRPr="001B2D0A" w:rsidRDefault="007274FC" w:rsidP="00C54B15">
            <w:pPr>
              <w:pStyle w:val="Sinespaciado"/>
              <w:jc w:val="both"/>
              <w:rPr>
                <w:rFonts w:ascii="Arial" w:hAnsi="Arial" w:cs="Arial"/>
                <w:sz w:val="18"/>
                <w:szCs w:val="18"/>
              </w:rPr>
            </w:pPr>
            <w:r w:rsidRPr="001B2D0A">
              <w:rPr>
                <w:rFonts w:ascii="Arial" w:hAnsi="Arial" w:cs="Arial"/>
                <w:sz w:val="18"/>
                <w:szCs w:val="18"/>
              </w:rPr>
              <w:t>Jefe Oficina Asesora Jurídica</w:t>
            </w:r>
          </w:p>
          <w:p w:rsidR="007274FC" w:rsidRPr="001B2D0A" w:rsidRDefault="007274FC" w:rsidP="00C54B15">
            <w:pPr>
              <w:pStyle w:val="Sinespaciado"/>
              <w:jc w:val="both"/>
              <w:rPr>
                <w:rFonts w:ascii="Arial" w:hAnsi="Arial" w:cs="Arial"/>
                <w:sz w:val="18"/>
                <w:szCs w:val="18"/>
              </w:rPr>
            </w:pPr>
          </w:p>
          <w:p w:rsidR="007274FC" w:rsidRPr="001B2D0A" w:rsidRDefault="007274FC" w:rsidP="00C54B15">
            <w:pPr>
              <w:pStyle w:val="Sinespaciado"/>
              <w:jc w:val="both"/>
              <w:rPr>
                <w:rFonts w:ascii="Arial" w:hAnsi="Arial" w:cs="Arial"/>
                <w:sz w:val="18"/>
                <w:szCs w:val="18"/>
              </w:rPr>
            </w:pPr>
          </w:p>
          <w:p w:rsidR="007274FC" w:rsidRPr="001B2D0A" w:rsidRDefault="007274FC" w:rsidP="00C54B15">
            <w:pPr>
              <w:pStyle w:val="Sinespaciado"/>
              <w:jc w:val="both"/>
              <w:rPr>
                <w:rFonts w:ascii="Arial" w:hAnsi="Arial" w:cs="Arial"/>
                <w:sz w:val="12"/>
                <w:szCs w:val="12"/>
              </w:rPr>
            </w:pPr>
          </w:p>
          <w:p w:rsidR="007274FC" w:rsidRPr="001B2D0A" w:rsidRDefault="007274FC" w:rsidP="00C54B15">
            <w:pPr>
              <w:pStyle w:val="Sinespaciado"/>
              <w:jc w:val="both"/>
              <w:rPr>
                <w:rFonts w:ascii="Arial" w:hAnsi="Arial" w:cs="Arial"/>
                <w:sz w:val="12"/>
                <w:szCs w:val="12"/>
              </w:rPr>
            </w:pPr>
            <w:r w:rsidRPr="001B2D0A">
              <w:rPr>
                <w:rFonts w:ascii="Arial" w:hAnsi="Arial" w:cs="Arial"/>
                <w:sz w:val="12"/>
                <w:szCs w:val="12"/>
              </w:rPr>
              <w:t>Proyectó:   Mauricio López.</w:t>
            </w:r>
          </w:p>
          <w:p w:rsidR="007274FC" w:rsidRPr="001C3FEE" w:rsidRDefault="007274FC" w:rsidP="00C54B15">
            <w:pPr>
              <w:pStyle w:val="Sinespaciado"/>
              <w:jc w:val="both"/>
              <w:rPr>
                <w:rFonts w:ascii="Arial" w:hAnsi="Arial" w:cs="Arial"/>
                <w:sz w:val="12"/>
                <w:szCs w:val="12"/>
                <w:lang w:val="es-CO"/>
              </w:rPr>
            </w:pPr>
            <w:r w:rsidRPr="001C3FEE">
              <w:rPr>
                <w:rFonts w:ascii="Arial" w:hAnsi="Arial" w:cs="Arial"/>
                <w:sz w:val="12"/>
                <w:szCs w:val="12"/>
                <w:lang w:val="es-CO"/>
              </w:rPr>
              <w:t xml:space="preserve">Revisó: Gloria Merchan </w:t>
            </w:r>
          </w:p>
        </w:tc>
      </w:tr>
    </w:tbl>
    <w:p w:rsidR="007274FC" w:rsidRPr="002D4801" w:rsidRDefault="007274FC" w:rsidP="007274FC"/>
    <w:p w:rsidR="007274FC" w:rsidRDefault="007274FC" w:rsidP="007274FC"/>
    <w:p w:rsidR="00663C97" w:rsidRDefault="00663C97"/>
    <w:sectPr w:rsidR="00663C97" w:rsidSect="001D499C">
      <w:headerReference w:type="default" r:id="rId6"/>
      <w:footerReference w:type="even" r:id="rId7"/>
      <w:footerReference w:type="default" r:id="rId8"/>
      <w:headerReference w:type="first" r:id="rId9"/>
      <w:footerReference w:type="first" r:id="rId10"/>
      <w:pgSz w:w="12242" w:h="15842" w:code="1"/>
      <w:pgMar w:top="567" w:right="1134" w:bottom="567" w:left="1134" w:header="567" w:footer="284" w:gutter="0"/>
      <w:paperSrc w:first="259" w:other="259"/>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1021" w:rsidRDefault="00C01021">
      <w:r>
        <w:separator/>
      </w:r>
    </w:p>
  </w:endnote>
  <w:endnote w:type="continuationSeparator" w:id="0">
    <w:p w:rsidR="00C01021" w:rsidRDefault="00C010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7A33" w:rsidRDefault="007274F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9F7A33" w:rsidRDefault="00C01021">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7A33" w:rsidRDefault="007274FC">
    <w:pPr>
      <w:pStyle w:val="Piedepgina"/>
      <w:ind w:right="-24"/>
      <w:jc w:val="right"/>
      <w:rPr>
        <w:rFonts w:ascii="Arial" w:hAnsi="Arial"/>
        <w:sz w:val="16"/>
      </w:rPr>
    </w:pPr>
    <w:r>
      <w:rPr>
        <w:rFonts w:ascii="Arial" w:hAnsi="Arial"/>
        <w:noProof/>
        <w:sz w:val="16"/>
        <w:lang w:val="es-CO" w:eastAsia="es-CO"/>
      </w:rPr>
      <mc:AlternateContent>
        <mc:Choice Requires="wps">
          <w:drawing>
            <wp:anchor distT="0" distB="0" distL="114300" distR="114300" simplePos="0" relativeHeight="251660288" behindDoc="0" locked="0" layoutInCell="0" allowOverlap="1" wp14:anchorId="61CD663B" wp14:editId="1FD7D1DB">
              <wp:simplePos x="0" y="0"/>
              <wp:positionH relativeFrom="column">
                <wp:posOffset>-97155</wp:posOffset>
              </wp:positionH>
              <wp:positionV relativeFrom="paragraph">
                <wp:posOffset>-13335</wp:posOffset>
              </wp:positionV>
              <wp:extent cx="6515100" cy="3175"/>
              <wp:effectExtent l="7620" t="5715" r="11430" b="10160"/>
              <wp:wrapNone/>
              <wp:docPr id="2"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15100" cy="317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E6DC294" id="Conector recto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5pt,-1.05pt" to="505.3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" o:allowincell="f"/>
          </w:pict>
        </mc:Fallback>
      </mc:AlternateContent>
    </w:r>
    <w:r>
      <w:rPr>
        <w:rStyle w:val="Nmerodepgina"/>
        <w:rFonts w:ascii="Arial" w:hAnsi="Arial"/>
        <w:sz w:val="16"/>
      </w:rPr>
      <w:t xml:space="preserve">Página </w:t>
    </w:r>
    <w:r>
      <w:rPr>
        <w:rStyle w:val="Nmerodepgina"/>
        <w:sz w:val="16"/>
      </w:rPr>
      <w:fldChar w:fldCharType="begin"/>
    </w:r>
    <w:r>
      <w:rPr>
        <w:rStyle w:val="Nmerodepgina"/>
        <w:sz w:val="16"/>
      </w:rPr>
      <w:instrText xml:space="preserve"> PAGE </w:instrText>
    </w:r>
    <w:r>
      <w:rPr>
        <w:rStyle w:val="Nmerodepgina"/>
        <w:sz w:val="16"/>
      </w:rPr>
      <w:fldChar w:fldCharType="separate"/>
    </w:r>
    <w:r w:rsidR="00313FCC">
      <w:rPr>
        <w:rStyle w:val="Nmerodepgina"/>
        <w:noProof/>
        <w:sz w:val="16"/>
      </w:rPr>
      <w:t>2</w:t>
    </w:r>
    <w:r>
      <w:rPr>
        <w:rStyle w:val="Nmerodepgina"/>
        <w:sz w:val="16"/>
      </w:rPr>
      <w:fldChar w:fldCharType="end"/>
    </w:r>
    <w:r>
      <w:rPr>
        <w:rStyle w:val="Nmerodepgina"/>
        <w:sz w:val="16"/>
      </w:rPr>
      <w:t xml:space="preserve"> </w:t>
    </w:r>
    <w:r>
      <w:rPr>
        <w:rStyle w:val="Nmerodepgina"/>
        <w:rFonts w:ascii="Arial" w:hAnsi="Arial"/>
        <w:sz w:val="16"/>
      </w:rPr>
      <w:t>de</w:t>
    </w:r>
    <w:r>
      <w:rPr>
        <w:rStyle w:val="Nmerodepgina"/>
        <w:rFonts w:ascii="Arial" w:hAnsi="Arial"/>
        <w:sz w:val="16"/>
      </w:rPr>
      <w:fldChar w:fldCharType="begin"/>
    </w:r>
    <w:r>
      <w:rPr>
        <w:rStyle w:val="Nmerodepgina"/>
        <w:rFonts w:ascii="Arial" w:hAnsi="Arial"/>
        <w:sz w:val="16"/>
      </w:rPr>
      <w:instrText xml:space="preserve"> NUMPAGES </w:instrText>
    </w:r>
    <w:r>
      <w:rPr>
        <w:rStyle w:val="Nmerodepgina"/>
        <w:rFonts w:ascii="Arial" w:hAnsi="Arial"/>
        <w:sz w:val="16"/>
      </w:rPr>
      <w:fldChar w:fldCharType="separate"/>
    </w:r>
    <w:r w:rsidR="00313FCC">
      <w:rPr>
        <w:rStyle w:val="Nmerodepgina"/>
        <w:rFonts w:ascii="Arial" w:hAnsi="Arial"/>
        <w:noProof/>
        <w:sz w:val="16"/>
      </w:rPr>
      <w:t>4</w:t>
    </w:r>
    <w:r>
      <w:rPr>
        <w:rStyle w:val="Nmerodepgina"/>
        <w:rFonts w:ascii="Arial" w:hAnsi="Arial"/>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7A33" w:rsidRDefault="007274FC">
    <w:pPr>
      <w:pStyle w:val="Piedepgina"/>
      <w:jc w:val="right"/>
      <w:rPr>
        <w:rFonts w:ascii="Arial" w:hAnsi="Arial"/>
        <w:lang w:val="es-CO"/>
      </w:rPr>
    </w:pPr>
    <w:r>
      <w:rPr>
        <w:rFonts w:ascii="Arial" w:hAnsi="Arial"/>
        <w:lang w:val="es-CO"/>
      </w:rPr>
      <w:t xml:space="preserve">Pag de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1021" w:rsidRDefault="00C01021">
      <w:r>
        <w:separator/>
      </w:r>
    </w:p>
  </w:footnote>
  <w:footnote w:type="continuationSeparator" w:id="0">
    <w:p w:rsidR="00C01021" w:rsidRDefault="00C010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7A33" w:rsidRDefault="007274FC">
    <w:pPr>
      <w:pStyle w:val="Encabezado"/>
      <w:rPr>
        <w:lang w:val="es-CO"/>
      </w:rPr>
    </w:pPr>
    <w:r>
      <w:rPr>
        <w:noProof/>
        <w:lang w:val="es-CO" w:eastAsia="es-CO"/>
      </w:rPr>
      <w:drawing>
        <wp:anchor distT="0" distB="0" distL="114300" distR="114300" simplePos="0" relativeHeight="251661312" behindDoc="0" locked="0" layoutInCell="1" allowOverlap="1" wp14:anchorId="45F45124" wp14:editId="48D9ACF7">
          <wp:simplePos x="0" y="0"/>
          <wp:positionH relativeFrom="margin">
            <wp:posOffset>1740535</wp:posOffset>
          </wp:positionH>
          <wp:positionV relativeFrom="paragraph">
            <wp:posOffset>-205740</wp:posOffset>
          </wp:positionV>
          <wp:extent cx="2857500" cy="571500"/>
          <wp:effectExtent l="0" t="0" r="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0" cy="571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F7A33" w:rsidRDefault="00C01021">
    <w:pPr>
      <w:pStyle w:val="Encabezado"/>
      <w:rPr>
        <w:lang w:val="es-CO"/>
      </w:rPr>
    </w:pPr>
  </w:p>
  <w:p w:rsidR="009F7A33" w:rsidRDefault="00C01021" w:rsidP="00E101F1">
    <w:pPr>
      <w:pStyle w:val="Encabezado"/>
      <w:jc w:val="center"/>
      <w:rPr>
        <w:lang w:val="es-CO"/>
      </w:rPr>
    </w:pPr>
  </w:p>
  <w:p w:rsidR="009F7A33" w:rsidRPr="00F2459E" w:rsidRDefault="00C01021">
    <w:pPr>
      <w:pStyle w:val="Encabezado"/>
      <w:rPr>
        <w:lang w:val="es-CO"/>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1"/>
      <w:gridCol w:w="6289"/>
      <w:gridCol w:w="2070"/>
    </w:tblGrid>
    <w:tr w:rsidR="009F7A33">
      <w:trPr>
        <w:cantSplit/>
        <w:trHeight w:val="705"/>
      </w:trPr>
      <w:tc>
        <w:tcPr>
          <w:tcW w:w="1701" w:type="dxa"/>
          <w:vMerge w:val="restart"/>
          <w:vAlign w:val="center"/>
        </w:tcPr>
        <w:p w:rsidR="009F7A33" w:rsidRDefault="007274FC">
          <w:pPr>
            <w:jc w:val="center"/>
            <w:rPr>
              <w:noProof/>
            </w:rPr>
          </w:pPr>
          <w:r>
            <w:rPr>
              <w:noProof/>
              <w:lang w:val="es-CO" w:eastAsia="es-CO"/>
            </w:rPr>
            <w:drawing>
              <wp:anchor distT="0" distB="0" distL="114300" distR="114300" simplePos="0" relativeHeight="251659264" behindDoc="0" locked="0" layoutInCell="0" allowOverlap="1" wp14:anchorId="359A9208" wp14:editId="05E0FDB9">
                <wp:simplePos x="0" y="0"/>
                <wp:positionH relativeFrom="column">
                  <wp:posOffset>211455</wp:posOffset>
                </wp:positionH>
                <wp:positionV relativeFrom="paragraph">
                  <wp:posOffset>45085</wp:posOffset>
                </wp:positionV>
                <wp:extent cx="594360" cy="74930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 cy="749300"/>
                        </a:xfrm>
                        <a:prstGeom prst="rect">
                          <a:avLst/>
                        </a:prstGeom>
                        <a:noFill/>
                      </pic:spPr>
                    </pic:pic>
                  </a:graphicData>
                </a:graphic>
                <wp14:sizeRelH relativeFrom="page">
                  <wp14:pctWidth>0</wp14:pctWidth>
                </wp14:sizeRelH>
                <wp14:sizeRelV relativeFrom="page">
                  <wp14:pctHeight>0</wp14:pctHeight>
                </wp14:sizeRelV>
              </wp:anchor>
            </w:drawing>
          </w:r>
        </w:p>
      </w:tc>
      <w:tc>
        <w:tcPr>
          <w:tcW w:w="6289" w:type="dxa"/>
          <w:vMerge w:val="restart"/>
          <w:vAlign w:val="center"/>
        </w:tcPr>
        <w:p w:rsidR="009F7A33" w:rsidRDefault="007274FC">
          <w:pPr>
            <w:jc w:val="center"/>
            <w:rPr>
              <w:sz w:val="24"/>
              <w:lang w:val="es-MX"/>
            </w:rPr>
          </w:pPr>
          <w:r>
            <w:rPr>
              <w:rFonts w:ascii="Arial" w:hAnsi="Arial"/>
              <w:b/>
              <w:sz w:val="24"/>
            </w:rPr>
            <w:t>NOMBRE DEL DOCUMENTO</w:t>
          </w:r>
        </w:p>
      </w:tc>
      <w:tc>
        <w:tcPr>
          <w:tcW w:w="2070" w:type="dxa"/>
          <w:vAlign w:val="center"/>
        </w:tcPr>
        <w:p w:rsidR="009F7A33" w:rsidRDefault="007274FC">
          <w:pPr>
            <w:pStyle w:val="Ttulo2"/>
            <w:jc w:val="left"/>
            <w:rPr>
              <w:sz w:val="20"/>
            </w:rPr>
          </w:pPr>
          <w:r>
            <w:rPr>
              <w:sz w:val="20"/>
            </w:rPr>
            <w:t xml:space="preserve">Código: </w:t>
          </w:r>
        </w:p>
      </w:tc>
    </w:tr>
    <w:tr w:rsidR="009F7A33">
      <w:trPr>
        <w:cantSplit/>
        <w:trHeight w:val="560"/>
      </w:trPr>
      <w:tc>
        <w:tcPr>
          <w:tcW w:w="1701" w:type="dxa"/>
          <w:vMerge/>
          <w:tcBorders>
            <w:bottom w:val="nil"/>
          </w:tcBorders>
          <w:vAlign w:val="center"/>
        </w:tcPr>
        <w:p w:rsidR="009F7A33" w:rsidRDefault="00C01021">
          <w:pPr>
            <w:jc w:val="center"/>
            <w:rPr>
              <w:noProof/>
            </w:rPr>
          </w:pPr>
        </w:p>
      </w:tc>
      <w:tc>
        <w:tcPr>
          <w:tcW w:w="6289" w:type="dxa"/>
          <w:vMerge/>
          <w:vAlign w:val="center"/>
        </w:tcPr>
        <w:p w:rsidR="009F7A33" w:rsidRDefault="00C01021">
          <w:pPr>
            <w:jc w:val="center"/>
            <w:rPr>
              <w:b/>
              <w:lang w:val="es-MX"/>
            </w:rPr>
          </w:pPr>
        </w:p>
      </w:tc>
      <w:tc>
        <w:tcPr>
          <w:tcW w:w="2070" w:type="dxa"/>
          <w:vAlign w:val="center"/>
        </w:tcPr>
        <w:p w:rsidR="009F7A33" w:rsidRDefault="007274FC">
          <w:pPr>
            <w:rPr>
              <w:rFonts w:ascii="Arial" w:hAnsi="Arial"/>
              <w:lang w:val="es-MX"/>
            </w:rPr>
          </w:pPr>
          <w:r>
            <w:rPr>
              <w:rFonts w:ascii="Arial" w:hAnsi="Arial"/>
              <w:lang w:val="es-MX"/>
            </w:rPr>
            <w:t>Versión : 1.0</w:t>
          </w:r>
        </w:p>
      </w:tc>
    </w:tr>
    <w:tr w:rsidR="009F7A33">
      <w:trPr>
        <w:cantSplit/>
        <w:trHeight w:val="114"/>
      </w:trPr>
      <w:tc>
        <w:tcPr>
          <w:tcW w:w="1701" w:type="dxa"/>
          <w:vAlign w:val="center"/>
        </w:tcPr>
        <w:p w:rsidR="009F7A33" w:rsidRDefault="007274FC">
          <w:pPr>
            <w:pStyle w:val="Textoindependiente"/>
            <w:jc w:val="center"/>
            <w:rPr>
              <w:b/>
              <w:sz w:val="16"/>
            </w:rPr>
          </w:pPr>
          <w:r>
            <w:rPr>
              <w:b/>
              <w:sz w:val="16"/>
            </w:rPr>
            <w:t>Ministerio de Minas y Energía</w:t>
          </w:r>
        </w:p>
        <w:p w:rsidR="009F7A33" w:rsidRDefault="007274FC">
          <w:pPr>
            <w:jc w:val="center"/>
            <w:rPr>
              <w:noProof/>
              <w:sz w:val="12"/>
            </w:rPr>
          </w:pPr>
          <w:r>
            <w:rPr>
              <w:rFonts w:ascii="Arial" w:hAnsi="Arial"/>
              <w:b/>
              <w:noProof/>
              <w:sz w:val="12"/>
            </w:rPr>
            <w:t>Republica de Colombia</w:t>
          </w:r>
        </w:p>
      </w:tc>
      <w:tc>
        <w:tcPr>
          <w:tcW w:w="6289" w:type="dxa"/>
          <w:vMerge/>
          <w:vAlign w:val="center"/>
        </w:tcPr>
        <w:p w:rsidR="009F7A33" w:rsidRDefault="00C01021">
          <w:pPr>
            <w:jc w:val="center"/>
            <w:rPr>
              <w:b/>
              <w:lang w:val="es-MX"/>
            </w:rPr>
          </w:pPr>
        </w:p>
      </w:tc>
      <w:tc>
        <w:tcPr>
          <w:tcW w:w="2070" w:type="dxa"/>
          <w:vAlign w:val="center"/>
        </w:tcPr>
        <w:p w:rsidR="009F7A33" w:rsidRDefault="007274FC">
          <w:pPr>
            <w:rPr>
              <w:rFonts w:ascii="Arial" w:hAnsi="Arial"/>
              <w:lang w:val="es-MX"/>
            </w:rPr>
          </w:pPr>
          <w:r>
            <w:rPr>
              <w:rFonts w:ascii="Arial" w:hAnsi="Arial"/>
              <w:lang w:val="es-MX"/>
            </w:rPr>
            <w:t xml:space="preserve">Fecha: </w:t>
          </w:r>
        </w:p>
      </w:tc>
    </w:tr>
  </w:tbl>
  <w:p w:rsidR="009F7A33" w:rsidRDefault="00C01021">
    <w:pPr>
      <w:pStyle w:val="Encabezado"/>
      <w:rPr>
        <w:lang w:val="es-MX"/>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4FC"/>
    <w:rsid w:val="00313FCC"/>
    <w:rsid w:val="00663C97"/>
    <w:rsid w:val="007274FC"/>
    <w:rsid w:val="00A95020"/>
    <w:rsid w:val="00C0102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65D2F5-014B-4EBB-B37F-8CEFC68BD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74FC"/>
    <w:pPr>
      <w:spacing w:after="0" w:line="240" w:lineRule="auto"/>
    </w:pPr>
    <w:rPr>
      <w:rFonts w:ascii="Times New Roman" w:eastAsia="Times New Roman" w:hAnsi="Times New Roman" w:cs="Times New Roman"/>
      <w:sz w:val="20"/>
      <w:szCs w:val="20"/>
      <w:lang w:val="es-ES" w:eastAsia="es-ES"/>
    </w:rPr>
  </w:style>
  <w:style w:type="paragraph" w:styleId="Ttulo2">
    <w:name w:val="heading 2"/>
    <w:basedOn w:val="Normal"/>
    <w:next w:val="Normal"/>
    <w:link w:val="Ttulo2Car"/>
    <w:qFormat/>
    <w:rsid w:val="007274FC"/>
    <w:pPr>
      <w:keepNext/>
      <w:jc w:val="center"/>
      <w:outlineLvl w:val="1"/>
    </w:pPr>
    <w:rPr>
      <w:rFonts w:ascii="Arial" w:hAnsi="Arial"/>
      <w:sz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7274FC"/>
    <w:rPr>
      <w:rFonts w:ascii="Arial" w:eastAsia="Times New Roman" w:hAnsi="Arial" w:cs="Times New Roman"/>
      <w:sz w:val="24"/>
      <w:szCs w:val="20"/>
      <w:lang w:val="es-ES_tradnl" w:eastAsia="es-ES"/>
    </w:rPr>
  </w:style>
  <w:style w:type="paragraph" w:styleId="Encabezado">
    <w:name w:val="header"/>
    <w:basedOn w:val="Normal"/>
    <w:link w:val="EncabezadoCar"/>
    <w:rsid w:val="007274FC"/>
    <w:pPr>
      <w:tabs>
        <w:tab w:val="center" w:pos="4252"/>
        <w:tab w:val="right" w:pos="8504"/>
      </w:tabs>
    </w:pPr>
  </w:style>
  <w:style w:type="character" w:customStyle="1" w:styleId="EncabezadoCar">
    <w:name w:val="Encabezado Car"/>
    <w:basedOn w:val="Fuentedeprrafopredeter"/>
    <w:link w:val="Encabezado"/>
    <w:rsid w:val="007274FC"/>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7274FC"/>
    <w:pPr>
      <w:tabs>
        <w:tab w:val="center" w:pos="4252"/>
        <w:tab w:val="right" w:pos="8504"/>
      </w:tabs>
    </w:pPr>
  </w:style>
  <w:style w:type="character" w:customStyle="1" w:styleId="PiedepginaCar">
    <w:name w:val="Pie de página Car"/>
    <w:basedOn w:val="Fuentedeprrafopredeter"/>
    <w:link w:val="Piedepgina"/>
    <w:rsid w:val="007274FC"/>
    <w:rPr>
      <w:rFonts w:ascii="Times New Roman" w:eastAsia="Times New Roman" w:hAnsi="Times New Roman" w:cs="Times New Roman"/>
      <w:sz w:val="20"/>
      <w:szCs w:val="20"/>
      <w:lang w:val="es-ES" w:eastAsia="es-ES"/>
    </w:rPr>
  </w:style>
  <w:style w:type="character" w:styleId="Nmerodepgina">
    <w:name w:val="page number"/>
    <w:basedOn w:val="Fuentedeprrafopredeter"/>
    <w:rsid w:val="007274FC"/>
  </w:style>
  <w:style w:type="paragraph" w:styleId="Textoindependiente">
    <w:name w:val="Body Text"/>
    <w:basedOn w:val="Normal"/>
    <w:link w:val="TextoindependienteCar"/>
    <w:rsid w:val="007274FC"/>
    <w:pPr>
      <w:jc w:val="both"/>
    </w:pPr>
    <w:rPr>
      <w:rFonts w:ascii="Arial" w:hAnsi="Arial"/>
      <w:sz w:val="24"/>
      <w:lang w:val="es-ES_tradnl"/>
    </w:rPr>
  </w:style>
  <w:style w:type="character" w:customStyle="1" w:styleId="TextoindependienteCar">
    <w:name w:val="Texto independiente Car"/>
    <w:basedOn w:val="Fuentedeprrafopredeter"/>
    <w:link w:val="Textoindependiente"/>
    <w:rsid w:val="007274FC"/>
    <w:rPr>
      <w:rFonts w:ascii="Arial" w:eastAsia="Times New Roman" w:hAnsi="Arial" w:cs="Times New Roman"/>
      <w:sz w:val="24"/>
      <w:szCs w:val="20"/>
      <w:lang w:val="es-ES_tradnl" w:eastAsia="es-ES"/>
    </w:rPr>
  </w:style>
  <w:style w:type="character" w:styleId="nfasis">
    <w:name w:val="Emphasis"/>
    <w:uiPriority w:val="20"/>
    <w:qFormat/>
    <w:rsid w:val="007274FC"/>
    <w:rPr>
      <w:i/>
      <w:iCs/>
    </w:rPr>
  </w:style>
  <w:style w:type="paragraph" w:styleId="Sinespaciado">
    <w:name w:val="No Spacing"/>
    <w:uiPriority w:val="1"/>
    <w:qFormat/>
    <w:rsid w:val="007274FC"/>
    <w:pPr>
      <w:spacing w:after="0" w:line="240" w:lineRule="auto"/>
    </w:pPr>
    <w:rPr>
      <w:rFonts w:ascii="Times New Roman" w:eastAsia="Times New Roman" w:hAnsi="Times New Roman"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customXml" Target="../customXml/item4.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customXml" Target="../customXml/item3.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7CF2AFB48AEEF04686B54E7662D2A024" ma:contentTypeVersion="8" ma:contentTypeDescription="Crear nuevo documento." ma:contentTypeScope="" ma:versionID="9153f1c5f5ad5a04b5a425fac3994e58">
  <xsd:schema xmlns:xsd="http://www.w3.org/2001/XMLSchema" xmlns:xs="http://www.w3.org/2001/XMLSchema" xmlns:p="http://schemas.microsoft.com/office/2006/metadata/properties" xmlns:ns1="http://schemas.microsoft.com/sharepoint/v3" xmlns:ns2="fe5c55e1-1529-428c-8c16-ada3460a0e7a" targetNamespace="http://schemas.microsoft.com/office/2006/metadata/properties" ma:root="true" ma:fieldsID="6fe375bef0e6cd8163217c6ec2aa7b25" ns1:_="" ns2:_="">
    <xsd:import namespace="http://schemas.microsoft.com/sharepoint/v3"/>
    <xsd:import namespace="fe5c55e1-1529-428c-8c16-ada3460a0e7a"/>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ección" minOccurs="0"/>
                <xsd:element ref="ns1:AverageRating" minOccurs="0"/>
                <xsd:element ref="ns1:RatingCount" minOccurs="0"/>
                <xsd:element ref="ns1:RatedBy" minOccurs="0"/>
                <xsd:element ref="ns1:Ratings" minOccurs="0"/>
                <xsd:element ref="ns1:LikesCount" minOccurs="0"/>
                <xsd:element ref="ns1:Liked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3" nillable="true" ma:displayName="Clasificación (0-5)" ma:decimals="2" ma:description="Valor promedio de todas las clasificaciones que se han enviado" ma:internalName="AverageRating" ma:readOnly="true">
      <xsd:simpleType>
        <xsd:restriction base="dms:Number"/>
      </xsd:simpleType>
    </xsd:element>
    <xsd:element name="RatingCount" ma:index="14" nillable="true" ma:displayName="Número de clasificaciones" ma:decimals="0" ma:description="Número de clasificaciones enviado" ma:internalName="RatingCount" ma:readOnly="true">
      <xsd:simpleType>
        <xsd:restriction base="dms:Number"/>
      </xsd:simpleType>
    </xsd:element>
    <xsd:element name="RatedBy" ma:index="15" nillable="true" ma:displayName="Valorado por" ma:description="Los usuarios valoraron el elemento."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6" nillable="true" ma:displayName="Valoraciones de usuario" ma:description="Valoraciones de usuario para el elemento" ma:hidden="true" ma:internalName="Ratings">
      <xsd:simpleType>
        <xsd:restriction base="dms:Note"/>
      </xsd:simpleType>
    </xsd:element>
    <xsd:element name="LikesCount" ma:index="17" nillable="true" ma:displayName="Número de Me gusta" ma:internalName="LikesCount">
      <xsd:simpleType>
        <xsd:restriction base="dms:Unknown"/>
      </xsd:simpleType>
    </xsd:element>
    <xsd:element name="LikedBy" ma:index="18" nillable="true" ma:displayName="Gusta a"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e5c55e1-1529-428c-8c16-ada3460a0e7a"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ección" ma:index="12" nillable="true" ma:displayName="Sección" ma:description="Columnas para búsqueda" ma:format="RadioButtons" ma:indexed="true" ma:internalName="Secci_x00f3_n">
      <xsd:simpleType>
        <xsd:restriction base="dms:Choice">
          <xsd:enumeration value="Talento Humano"/>
          <xsd:enumeration value="Jóvenes en Acción"/>
          <xsd:enumeration value="Familias en Acción"/>
          <xsd:enumeration value="Control Intern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ección xmlns="fe5c55e1-1529-428c-8c16-ada3460a0e7a" xsi:nil="true"/>
    <_dlc_DocId xmlns="fe5c55e1-1529-428c-8c16-ada3460a0e7a">A65FJVFR3NAS-1820456951-421</_dlc_DocId>
    <_dlc_DocIdUrl xmlns="fe5c55e1-1529-428c-8c16-ada3460a0e7a">
      <Url>http://tame/_layouts/15/DocIdRedir.aspx?ID=A65FJVFR3NAS-1820456951-421</Url>
      <Description>A65FJVFR3NAS-1820456951-421</Description>
    </_dlc_DocIdUrl>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3DBF96B2-A3EE-4765-B915-A1E140D557B2}"/>
</file>

<file path=customXml/itemProps2.xml><?xml version="1.0" encoding="utf-8"?>
<ds:datastoreItem xmlns:ds="http://schemas.openxmlformats.org/officeDocument/2006/customXml" ds:itemID="{F297D69C-4844-4B80-9A74-EBCEE708696E}"/>
</file>

<file path=customXml/itemProps3.xml><?xml version="1.0" encoding="utf-8"?>
<ds:datastoreItem xmlns:ds="http://schemas.openxmlformats.org/officeDocument/2006/customXml" ds:itemID="{C7388355-E5F9-4891-9516-6363CA7007FF}"/>
</file>

<file path=customXml/itemProps4.xml><?xml version="1.0" encoding="utf-8"?>
<ds:datastoreItem xmlns:ds="http://schemas.openxmlformats.org/officeDocument/2006/customXml" ds:itemID="{4A88CEC7-7C86-4D11-9ACE-5A5B855E1312}"/>
</file>

<file path=docProps/app.xml><?xml version="1.0" encoding="utf-8"?>
<Properties xmlns="http://schemas.openxmlformats.org/officeDocument/2006/extended-properties" xmlns:vt="http://schemas.openxmlformats.org/officeDocument/2006/docPropsVTypes">
  <Template>Normal</Template>
  <TotalTime>0</TotalTime>
  <Pages>4</Pages>
  <Words>1687</Words>
  <Characters>9280</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Mauricio Javier Lopez Osorio</dc:creator>
  <cp:keywords/>
  <dc:description/>
  <cp:lastModifiedBy>Sandra Johana Gonzalez Matallana</cp:lastModifiedBy>
  <cp:revision>2</cp:revision>
  <dcterms:created xsi:type="dcterms:W3CDTF">2019-12-09T14:28:00Z</dcterms:created>
  <dcterms:modified xsi:type="dcterms:W3CDTF">2019-12-09T14:28:00Z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Nivel">
    <vt:lpwstr>NIVEL-1</vt:lpwstr>
  </property>
  <property fmtid="{D5CDD505-2E9C-101B-9397-08002B2CF9AE}" pid="3" name="IdTipoDoc">
    <vt:lpwstr>TIPODOC-1</vt:lpwstr>
  </property>
  <property fmtid="{D5CDD505-2E9C-101B-9397-08002B2CF9AE}" pid="4" name="IdDocTMS">
    <vt:lpwstr>DOCTMS-1</vt:lpwstr>
  </property>
  <property fmtid="{D5CDD505-2E9C-101B-9397-08002B2CF9AE}" pid="5" name="PublicarPDF">
    <vt:lpwstr>1</vt:lpwstr>
  </property>
  <property fmtid="{D5CDD505-2E9C-101B-9397-08002B2CF9AE}" pid="6" name="ContentTypeId">
    <vt:lpwstr>0x0101007CF2AFB48AEEF04686B54E7662D2A024</vt:lpwstr>
  </property>
  <property fmtid="{D5CDD505-2E9C-101B-9397-08002B2CF9AE}" pid="7" name="_dlc_DocIdItemGuid">
    <vt:lpwstr>dcea189c-3f18-4718-8ccd-f4980100dd65</vt:lpwstr>
  </property>
</Properties>
</file>